
<file path=[Content_Types].xml><?xml version="1.0" encoding="utf-8"?>
<Types xmlns="http://schemas.openxmlformats.org/package/2006/content-types">
  <Default Extension="xml" ContentType="application/xml"/>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07" w:firstLineChars="221"/>
        <w:rPr>
          <w:rFonts w:ascii="仿宋" w:hAnsi="仿宋" w:eastAsia="仿宋"/>
          <w:sz w:val="32"/>
          <w:szCs w:val="32"/>
        </w:rPr>
      </w:pPr>
    </w:p>
    <w:p>
      <w:pPr>
        <w:spacing w:line="300" w:lineRule="auto"/>
        <w:jc w:val="left"/>
        <w:rPr>
          <w:rFonts w:ascii="黑体" w:hAnsi="Times New Roman" w:eastAsia="黑体" w:cs="Times New Roman"/>
          <w:kern w:val="0"/>
          <w:sz w:val="32"/>
          <w:szCs w:val="20"/>
        </w:rPr>
      </w:pPr>
      <w:r>
        <w:rPr>
          <w:rFonts w:hint="eastAsia" w:ascii="黑体" w:hAnsi="Times New Roman" w:eastAsia="黑体" w:cs="Times New Roman"/>
          <w:kern w:val="0"/>
          <w:sz w:val="32"/>
          <w:szCs w:val="20"/>
        </w:rPr>
        <w:t>附件：</w:t>
      </w:r>
    </w:p>
    <w:p>
      <w:pPr>
        <w:spacing w:line="300" w:lineRule="auto"/>
        <w:jc w:val="center"/>
        <w:rPr>
          <w:rFonts w:ascii="黑体" w:hAnsi="Times New Roman" w:eastAsia="黑体" w:cs="Times New Roman"/>
          <w:spacing w:val="-20"/>
          <w:kern w:val="0"/>
          <w:sz w:val="32"/>
          <w:szCs w:val="20"/>
        </w:rPr>
      </w:pPr>
      <w:bookmarkStart w:id="39" w:name="_GoBack"/>
      <w:r>
        <w:rPr>
          <w:rFonts w:hint="eastAsia" w:ascii="黑体" w:hAnsi="Times New Roman" w:eastAsia="黑体" w:cs="Times New Roman"/>
          <w:spacing w:val="-20"/>
          <w:kern w:val="0"/>
          <w:sz w:val="32"/>
          <w:szCs w:val="20"/>
        </w:rPr>
        <w:t>河南省涉气排污单位污染治理设施用电监管</w:t>
      </w:r>
      <w:r>
        <w:rPr>
          <w:rFonts w:ascii="黑体" w:hAnsi="Times New Roman" w:eastAsia="黑体" w:cs="Times New Roman"/>
          <w:spacing w:val="-20"/>
          <w:kern w:val="0"/>
          <w:sz w:val="32"/>
          <w:szCs w:val="20"/>
        </w:rPr>
        <w:t>技术指南</w:t>
      </w:r>
      <w:r>
        <w:rPr>
          <w:rFonts w:hint="eastAsia" w:ascii="黑体" w:hAnsi="Times New Roman" w:eastAsia="黑体" w:cs="Times New Roman"/>
          <w:spacing w:val="-20"/>
          <w:kern w:val="0"/>
          <w:sz w:val="32"/>
          <w:szCs w:val="20"/>
        </w:rPr>
        <w:t>(试行)</w:t>
      </w:r>
    </w:p>
    <w:bookmarkEnd w:id="39"/>
    <w:p>
      <w:pPr>
        <w:pStyle w:val="75"/>
        <w:spacing w:before="312" w:after="312"/>
        <w:rPr>
          <w:szCs w:val="22"/>
        </w:rPr>
      </w:pPr>
      <w:bookmarkStart w:id="0" w:name="_Toc5172466"/>
      <w:r>
        <w:rPr>
          <w:rFonts w:hint="eastAsia"/>
          <w:szCs w:val="22"/>
        </w:rPr>
        <w:t>1 适用范围</w:t>
      </w:r>
      <w:bookmarkEnd w:id="0"/>
    </w:p>
    <w:p>
      <w:pPr>
        <w:pStyle w:val="68"/>
        <w:ind w:firstLine="420" w:firstLineChars="200"/>
      </w:pPr>
      <w:r>
        <w:t>本技术指南规定了</w:t>
      </w:r>
      <w:r>
        <w:rPr>
          <w:rFonts w:hint="eastAsia"/>
        </w:rPr>
        <w:t>涉气排污单位污染治理设施用电监管</w:t>
      </w:r>
      <w:r>
        <w:t>系统的组成、实施、验收和日常运行管理等</w:t>
      </w:r>
      <w:r>
        <w:rPr>
          <w:rFonts w:hint="eastAsia"/>
        </w:rPr>
        <w:t>要求</w:t>
      </w:r>
      <w:r>
        <w:t>，以及判定</w:t>
      </w:r>
      <w:r>
        <w:rPr>
          <w:rFonts w:hint="eastAsia"/>
        </w:rPr>
        <w:t>排污单位</w:t>
      </w:r>
      <w:r>
        <w:t>生产与污染治理设施运行状态的方法。</w:t>
      </w:r>
    </w:p>
    <w:p>
      <w:pPr>
        <w:pStyle w:val="68"/>
        <w:ind w:firstLine="424" w:firstLineChars="202"/>
      </w:pPr>
      <w:r>
        <w:t>本技术指南适用</w:t>
      </w:r>
      <w:r>
        <w:rPr>
          <w:rFonts w:hint="eastAsia"/>
        </w:rPr>
        <w:t>于河南省涉气排污单位污染治理设施用电监管</w:t>
      </w:r>
      <w:r>
        <w:t>系统建设实施。</w:t>
      </w:r>
    </w:p>
    <w:p>
      <w:pPr>
        <w:pStyle w:val="75"/>
        <w:spacing w:before="312" w:after="312"/>
        <w:rPr>
          <w:szCs w:val="22"/>
        </w:rPr>
      </w:pPr>
      <w:bookmarkStart w:id="1" w:name="_Toc5172467"/>
      <w:r>
        <w:rPr>
          <w:rFonts w:hint="eastAsia"/>
          <w:szCs w:val="22"/>
        </w:rPr>
        <w:t>2 规范性引用文件</w:t>
      </w:r>
      <w:bookmarkEnd w:id="1"/>
    </w:p>
    <w:p>
      <w:pPr>
        <w:pStyle w:val="68"/>
        <w:ind w:firstLine="420" w:firstLineChars="200"/>
      </w:pPr>
      <w:r>
        <w:t>本技术指南内容引用了下列文件中的条款。凡是不注明日期的引用文件，其有效版本适用于本技术指南。</w:t>
      </w:r>
    </w:p>
    <w:p>
      <w:pPr>
        <w:pStyle w:val="68"/>
        <w:ind w:firstLine="420" w:firstLineChars="200"/>
      </w:pPr>
      <w:r>
        <w:t>GB120</w:t>
      </w:r>
      <w:r>
        <w:rPr>
          <w:rFonts w:hint="eastAsia"/>
        </w:rPr>
        <w:t xml:space="preserve">7         </w:t>
      </w:r>
      <w:r>
        <w:t>电</w:t>
      </w:r>
      <w:r>
        <w:rPr>
          <w:rFonts w:hint="eastAsia"/>
        </w:rPr>
        <w:t>压</w:t>
      </w:r>
      <w:r>
        <w:t>互感器</w:t>
      </w:r>
    </w:p>
    <w:p>
      <w:pPr>
        <w:pStyle w:val="68"/>
        <w:ind w:firstLine="420" w:firstLineChars="200"/>
      </w:pPr>
      <w:r>
        <w:t>GB1208         电流互感器</w:t>
      </w:r>
    </w:p>
    <w:p>
      <w:pPr>
        <w:pStyle w:val="68"/>
        <w:ind w:firstLine="420" w:firstLineChars="200"/>
      </w:pPr>
      <w:r>
        <w:t>GB3100         国际单位制及其应用</w:t>
      </w:r>
    </w:p>
    <w:p>
      <w:pPr>
        <w:pStyle w:val="68"/>
        <w:ind w:firstLine="420" w:firstLineChars="200"/>
      </w:pPr>
      <w:r>
        <w:t>GB3101         有关量、单位和符号的一般原则</w:t>
      </w:r>
    </w:p>
    <w:p>
      <w:pPr>
        <w:pStyle w:val="68"/>
        <w:ind w:firstLine="420" w:firstLineChars="200"/>
      </w:pPr>
      <w:r>
        <w:t>GB3102.1       空间和时间的量和单位</w:t>
      </w:r>
    </w:p>
    <w:p>
      <w:pPr>
        <w:pStyle w:val="68"/>
        <w:numPr>
          <w:ilvl w:val="0"/>
          <w:numId w:val="0"/>
        </w:numPr>
        <w:ind w:firstLine="420" w:firstLineChars="200"/>
      </w:pPr>
      <w:r>
        <w:rPr>
          <w:rFonts w:hint="eastAsia"/>
        </w:rPr>
        <w:t>GB4208         外壳防护等级（IP代码）</w:t>
      </w:r>
    </w:p>
    <w:p>
      <w:pPr>
        <w:pStyle w:val="68"/>
        <w:ind w:firstLine="420" w:firstLineChars="200"/>
      </w:pPr>
      <w:r>
        <w:t>GB4793.1       测量、控制和实验室用电气设备的安全要求 第1部分：通用要求</w:t>
      </w:r>
    </w:p>
    <w:p>
      <w:pPr>
        <w:pStyle w:val="68"/>
        <w:numPr>
          <w:ilvl w:val="0"/>
          <w:numId w:val="0"/>
        </w:numPr>
        <w:ind w:firstLine="420" w:firstLineChars="200"/>
      </w:pPr>
      <w:r>
        <w:t xml:space="preserve">GB/T6587    </w:t>
      </w:r>
      <w:r>
        <w:rPr>
          <w:rFonts w:hint="eastAsia"/>
        </w:rPr>
        <w:t xml:space="preserve">   </w:t>
      </w:r>
      <w:r>
        <w:t>电子测量仪器 基本安全试验</w:t>
      </w:r>
    </w:p>
    <w:p>
      <w:pPr>
        <w:pStyle w:val="68"/>
        <w:ind w:firstLine="420" w:firstLineChars="200"/>
      </w:pPr>
      <w:r>
        <w:t xml:space="preserve">GB/T13850   </w:t>
      </w:r>
      <w:r>
        <w:rPr>
          <w:rFonts w:hint="eastAsia"/>
        </w:rPr>
        <w:t xml:space="preserve">   </w:t>
      </w:r>
      <w:r>
        <w:t>交流电量转换为模拟量或数字信号的电测量变送器</w:t>
      </w:r>
    </w:p>
    <w:p>
      <w:pPr>
        <w:pStyle w:val="68"/>
        <w:ind w:firstLine="420" w:firstLineChars="200"/>
      </w:pPr>
      <w:r>
        <w:t xml:space="preserve">GB/T16706   </w:t>
      </w:r>
      <w:r>
        <w:rPr>
          <w:rFonts w:hint="eastAsia"/>
        </w:rPr>
        <w:t xml:space="preserve">   </w:t>
      </w:r>
      <w:r>
        <w:t>环境污染源类别代码</w:t>
      </w:r>
    </w:p>
    <w:p>
      <w:pPr>
        <w:pStyle w:val="68"/>
        <w:ind w:firstLine="420" w:firstLineChars="200"/>
      </w:pPr>
      <w:r>
        <w:t xml:space="preserve">GB/T17214   </w:t>
      </w:r>
      <w:r>
        <w:rPr>
          <w:rFonts w:hint="eastAsia"/>
        </w:rPr>
        <w:t xml:space="preserve">   </w:t>
      </w:r>
      <w:r>
        <w:t>工业过程测量和控制装置的工作条件</w:t>
      </w:r>
    </w:p>
    <w:p>
      <w:pPr>
        <w:pStyle w:val="68"/>
        <w:ind w:firstLine="420" w:firstLineChars="200"/>
      </w:pPr>
      <w:r>
        <w:t xml:space="preserve">GB/T17626   </w:t>
      </w:r>
      <w:r>
        <w:rPr>
          <w:rFonts w:hint="eastAsia"/>
        </w:rPr>
        <w:t xml:space="preserve">   </w:t>
      </w:r>
      <w:r>
        <w:t>电磁兼容 实验和测量技术</w:t>
      </w:r>
    </w:p>
    <w:p>
      <w:pPr>
        <w:pStyle w:val="68"/>
        <w:ind w:firstLine="420" w:firstLineChars="200"/>
      </w:pPr>
      <w:r>
        <w:t xml:space="preserve">GB/T 2423   </w:t>
      </w:r>
      <w:r>
        <w:rPr>
          <w:rFonts w:hint="eastAsia"/>
        </w:rPr>
        <w:t xml:space="preserve">   电工电子产品环境实验 第2部分：实验方法</w:t>
      </w:r>
    </w:p>
    <w:p>
      <w:pPr>
        <w:pStyle w:val="68"/>
        <w:ind w:firstLine="420" w:firstLineChars="200"/>
      </w:pPr>
      <w:r>
        <w:t xml:space="preserve">GB/T </w:t>
      </w:r>
      <w:r>
        <w:rPr>
          <w:rFonts w:hint="eastAsia"/>
        </w:rPr>
        <w:t>17215.211 交流电测量设备 通用要求</w:t>
      </w:r>
    </w:p>
    <w:p>
      <w:pPr>
        <w:pStyle w:val="68"/>
        <w:ind w:firstLine="420" w:firstLineChars="200"/>
      </w:pPr>
      <w:r>
        <w:t xml:space="preserve">GB/T </w:t>
      </w:r>
      <w:r>
        <w:rPr>
          <w:rFonts w:hint="eastAsia"/>
        </w:rPr>
        <w:t>17215.321 交流电测量设备 特殊要求</w:t>
      </w:r>
    </w:p>
    <w:p>
      <w:pPr>
        <w:pStyle w:val="68"/>
        <w:numPr>
          <w:ilvl w:val="0"/>
          <w:numId w:val="0"/>
        </w:numPr>
        <w:ind w:firstLine="420" w:firstLineChars="200"/>
      </w:pPr>
      <w:r>
        <w:rPr>
          <w:rFonts w:hint="eastAsia"/>
        </w:rPr>
        <w:t>GB50057        建筑物防雷设计规范</w:t>
      </w:r>
    </w:p>
    <w:p>
      <w:pPr>
        <w:pStyle w:val="68"/>
        <w:numPr>
          <w:ilvl w:val="0"/>
          <w:numId w:val="0"/>
        </w:numPr>
        <w:ind w:firstLine="420" w:firstLineChars="200"/>
      </w:pPr>
      <w:r>
        <w:rPr>
          <w:rFonts w:hint="eastAsia"/>
        </w:rPr>
        <w:t>GB50093        自动化仪表工程施工及质量验收规范</w:t>
      </w:r>
    </w:p>
    <w:p>
      <w:pPr>
        <w:pStyle w:val="68"/>
        <w:numPr>
          <w:ilvl w:val="0"/>
          <w:numId w:val="0"/>
        </w:numPr>
        <w:ind w:firstLine="420" w:firstLineChars="200"/>
      </w:pPr>
      <w:r>
        <w:rPr>
          <w:rFonts w:hint="eastAsia"/>
        </w:rPr>
        <w:t>GB50168        电气装置安装工程_电缆线路施工及验收规范</w:t>
      </w:r>
    </w:p>
    <w:p>
      <w:pPr>
        <w:pStyle w:val="68"/>
        <w:numPr>
          <w:ilvl w:val="0"/>
          <w:numId w:val="0"/>
        </w:numPr>
        <w:ind w:firstLine="420" w:firstLineChars="200"/>
      </w:pPr>
      <w:r>
        <w:rPr>
          <w:rFonts w:hint="eastAsia"/>
        </w:rPr>
        <w:t>GB50171        电气装置安装工程盘、柜及二次回路接线施工及验收规范</w:t>
      </w:r>
    </w:p>
    <w:p>
      <w:pPr>
        <w:pStyle w:val="68"/>
        <w:ind w:firstLine="420" w:firstLineChars="200"/>
      </w:pPr>
      <w:r>
        <w:t xml:space="preserve">DL/T5137    </w:t>
      </w:r>
      <w:r>
        <w:rPr>
          <w:rFonts w:hint="eastAsia"/>
        </w:rPr>
        <w:t xml:space="preserve">   </w:t>
      </w:r>
      <w:r>
        <w:t>电测量及电能计量装置设计技术规程</w:t>
      </w:r>
    </w:p>
    <w:p>
      <w:pPr>
        <w:pStyle w:val="68"/>
        <w:ind w:firstLine="420" w:firstLineChars="200"/>
      </w:pPr>
      <w:r>
        <w:t xml:space="preserve">HJ212       </w:t>
      </w:r>
      <w:r>
        <w:rPr>
          <w:rFonts w:hint="eastAsia"/>
        </w:rPr>
        <w:t xml:space="preserve">   </w:t>
      </w:r>
      <w:r>
        <w:t>污染源在线自动</w:t>
      </w:r>
      <w:r>
        <w:rPr>
          <w:rFonts w:hint="eastAsia"/>
        </w:rPr>
        <w:t>监控</w:t>
      </w:r>
      <w:r>
        <w:t>（监测）系统数据传输标准</w:t>
      </w:r>
    </w:p>
    <w:p>
      <w:pPr>
        <w:pStyle w:val="68"/>
        <w:ind w:firstLine="420" w:firstLineChars="200"/>
      </w:pPr>
      <w:r>
        <w:t xml:space="preserve">HJ447      </w:t>
      </w:r>
      <w:r>
        <w:rPr>
          <w:rFonts w:hint="eastAsia"/>
        </w:rPr>
        <w:t xml:space="preserve">    </w:t>
      </w:r>
      <w:r>
        <w:t>污染源在线自动</w:t>
      </w:r>
      <w:r>
        <w:rPr>
          <w:rFonts w:hint="eastAsia"/>
        </w:rPr>
        <w:t>监控</w:t>
      </w:r>
      <w:r>
        <w:t>（监测）数据采集传输仪技术指南</w:t>
      </w:r>
    </w:p>
    <w:p>
      <w:pPr>
        <w:pStyle w:val="68"/>
        <w:ind w:firstLine="420" w:firstLineChars="200"/>
      </w:pPr>
      <w:r>
        <w:t xml:space="preserve">HJ2000     </w:t>
      </w:r>
      <w:r>
        <w:rPr>
          <w:rFonts w:hint="eastAsia"/>
        </w:rPr>
        <w:t xml:space="preserve">    </w:t>
      </w:r>
      <w:r>
        <w:t>大气污染治理工程技术导则</w:t>
      </w:r>
    </w:p>
    <w:p>
      <w:pPr>
        <w:pStyle w:val="68"/>
        <w:ind w:firstLine="420" w:firstLineChars="200"/>
      </w:pPr>
      <w:r>
        <w:rPr>
          <w:rFonts w:hint="eastAsia"/>
        </w:rPr>
        <w:t>HJ75           固定污染源烟气(SO</w:t>
      </w:r>
      <w:r>
        <w:rPr>
          <w:vertAlign w:val="subscript"/>
        </w:rPr>
        <w:t>2</w:t>
      </w:r>
      <w:r>
        <w:rPr>
          <w:rFonts w:hint="eastAsia"/>
        </w:rPr>
        <w:t>、NO</w:t>
      </w:r>
      <w:r>
        <w:rPr>
          <w:vertAlign w:val="subscript"/>
        </w:rPr>
        <w:t>x</w:t>
      </w:r>
      <w:r>
        <w:rPr>
          <w:rFonts w:hint="eastAsia"/>
        </w:rPr>
        <w:t>、颗粒物)排放连续监测技术规范</w:t>
      </w:r>
    </w:p>
    <w:p>
      <w:pPr>
        <w:pStyle w:val="75"/>
        <w:spacing w:before="312" w:after="312"/>
        <w:rPr>
          <w:szCs w:val="22"/>
        </w:rPr>
      </w:pPr>
      <w:bookmarkStart w:id="2" w:name="_Toc5172468"/>
      <w:r>
        <w:rPr>
          <w:rFonts w:hint="eastAsia"/>
          <w:szCs w:val="22"/>
        </w:rPr>
        <w:t>3 术语和定义</w:t>
      </w:r>
      <w:bookmarkEnd w:id="2"/>
    </w:p>
    <w:p>
      <w:pPr>
        <w:pStyle w:val="68"/>
      </w:pPr>
      <w:r>
        <w:rPr>
          <w:rFonts w:hint="eastAsia"/>
        </w:rPr>
        <w:t xml:space="preserve">    </w:t>
      </w:r>
      <w:r>
        <w:t>下列术语和定义适用于本技术指南。</w:t>
      </w:r>
    </w:p>
    <w:p>
      <w:pPr>
        <w:pStyle w:val="72"/>
        <w:numPr>
          <w:ilvl w:val="1"/>
          <w:numId w:val="0"/>
        </w:numPr>
        <w:spacing w:before="156" w:after="156"/>
      </w:pPr>
      <w:bookmarkStart w:id="3" w:name="_Toc5172469"/>
      <w:r>
        <w:rPr>
          <w:rFonts w:hint="eastAsia"/>
        </w:rPr>
        <w:t>3.1用电监管</w:t>
      </w:r>
      <w:r>
        <w:t>系统</w:t>
      </w:r>
      <w:bookmarkEnd w:id="3"/>
      <w:r>
        <w:rPr>
          <w:rFonts w:hint="eastAsia"/>
        </w:rPr>
        <w:t>，</w:t>
      </w:r>
      <w:r>
        <w:t>PEMS</w:t>
      </w:r>
    </w:p>
    <w:p>
      <w:pPr>
        <w:pStyle w:val="68"/>
        <w:ind w:firstLine="420" w:firstLineChars="200"/>
      </w:pPr>
      <w:r>
        <w:rPr>
          <w:rFonts w:hint="eastAsia"/>
        </w:rPr>
        <w:t>用电监管系统</w:t>
      </w:r>
      <w:r>
        <w:t>（简称PEMS）</w:t>
      </w:r>
      <w:r>
        <w:rPr>
          <w:rFonts w:hint="eastAsia"/>
        </w:rPr>
        <w:t>,是</w:t>
      </w:r>
      <w:r>
        <w:t>根据工艺设计对</w:t>
      </w:r>
      <w:r>
        <w:rPr>
          <w:rFonts w:hint="eastAsia"/>
        </w:rPr>
        <w:t>反映固定污染源</w:t>
      </w:r>
      <w:r>
        <w:t>生产设施、污染物治理设施运行</w:t>
      </w:r>
      <w:r>
        <w:rPr>
          <w:rFonts w:hint="eastAsia"/>
        </w:rPr>
        <w:t>状态的</w:t>
      </w:r>
      <w:r>
        <w:t>电气参数（如：电流、电压、功率、电量等）进行监测</w:t>
      </w:r>
      <w:r>
        <w:rPr>
          <w:rFonts w:hint="eastAsia"/>
        </w:rPr>
        <w:t>的全部设备和信息系统。PEMS用于掌握</w:t>
      </w:r>
      <w:r>
        <w:t>生产设施和治理设施的运行</w:t>
      </w:r>
      <w:r>
        <w:rPr>
          <w:rFonts w:hint="eastAsia"/>
        </w:rPr>
        <w:t>情况</w:t>
      </w:r>
      <w:r>
        <w:t>、污染治理</w:t>
      </w:r>
      <w:r>
        <w:rPr>
          <w:rFonts w:hint="eastAsia"/>
        </w:rPr>
        <w:t>及</w:t>
      </w:r>
      <w:r>
        <w:t>排放情况</w:t>
      </w:r>
      <w:r>
        <w:rPr>
          <w:rFonts w:hint="eastAsia"/>
        </w:rPr>
        <w:t>、</w:t>
      </w:r>
      <w:r>
        <w:t>污染源停限产</w:t>
      </w:r>
      <w:r>
        <w:rPr>
          <w:rFonts w:hint="eastAsia"/>
        </w:rPr>
        <w:t>及错峰生产情况等信息，是污染源自动监测系统的组成部分。PEMS的建设应满足</w:t>
      </w:r>
      <w:r>
        <w:t>国家标准规范和计量认证要求</w:t>
      </w:r>
      <w:r>
        <w:rPr>
          <w:rFonts w:hint="eastAsia"/>
        </w:rPr>
        <w:t>。</w:t>
      </w:r>
    </w:p>
    <w:p>
      <w:pPr>
        <w:pStyle w:val="72"/>
        <w:numPr>
          <w:ilvl w:val="1"/>
          <w:numId w:val="0"/>
        </w:numPr>
        <w:spacing w:before="156" w:after="156"/>
      </w:pPr>
      <w:bookmarkStart w:id="4" w:name="_Toc5172470"/>
      <w:r>
        <w:rPr>
          <w:rFonts w:hint="eastAsia"/>
        </w:rPr>
        <w:t>3.2烟气排放连续性监测系统，CEMS</w:t>
      </w:r>
      <w:bookmarkEnd w:id="4"/>
    </w:p>
    <w:p>
      <w:pPr>
        <w:pStyle w:val="68"/>
        <w:ind w:firstLine="420" w:firstLineChars="200"/>
      </w:pPr>
      <w:r>
        <w:rPr>
          <w:rFonts w:hint="eastAsia"/>
        </w:rPr>
        <w:t>连续监测固定污染源颗粒物和（或）气态污染物排放浓度和排放量所需要的全部设备，简称CEMS。</w:t>
      </w:r>
    </w:p>
    <w:p>
      <w:pPr>
        <w:pStyle w:val="72"/>
        <w:numPr>
          <w:ilvl w:val="1"/>
          <w:numId w:val="0"/>
        </w:numPr>
        <w:spacing w:before="156" w:after="156"/>
      </w:pPr>
      <w:bookmarkStart w:id="5" w:name="_Toc5172471"/>
      <w:r>
        <w:rPr>
          <w:rFonts w:hint="eastAsia"/>
        </w:rPr>
        <w:t>3.3生产设施</w:t>
      </w:r>
      <w:bookmarkEnd w:id="5"/>
    </w:p>
    <w:p>
      <w:pPr>
        <w:pStyle w:val="68"/>
        <w:ind w:firstLine="420" w:firstLineChars="200"/>
      </w:pPr>
      <w:r>
        <w:t>生产过程中产生废气、污水的设备。</w:t>
      </w:r>
    </w:p>
    <w:p>
      <w:pPr>
        <w:pStyle w:val="72"/>
        <w:numPr>
          <w:ilvl w:val="1"/>
          <w:numId w:val="0"/>
        </w:numPr>
        <w:spacing w:before="156" w:after="156"/>
      </w:pPr>
      <w:bookmarkStart w:id="6" w:name="_Toc5172472"/>
      <w:r>
        <w:rPr>
          <w:rFonts w:hint="eastAsia"/>
        </w:rPr>
        <w:t>3.4污染治理设施</w:t>
      </w:r>
      <w:bookmarkEnd w:id="6"/>
    </w:p>
    <w:p>
      <w:pPr>
        <w:pStyle w:val="68"/>
        <w:ind w:firstLine="420" w:firstLineChars="200"/>
      </w:pPr>
      <w:r>
        <w:t>用于治理污染物所需的设备、装置等，统称为污染治理设施</w:t>
      </w:r>
      <w:r>
        <w:rPr>
          <w:rFonts w:hint="eastAsia"/>
        </w:rPr>
        <w:t>。</w:t>
      </w:r>
    </w:p>
    <w:p>
      <w:pPr>
        <w:pStyle w:val="72"/>
        <w:numPr>
          <w:ilvl w:val="1"/>
          <w:numId w:val="0"/>
        </w:numPr>
        <w:spacing w:before="156" w:after="156"/>
      </w:pPr>
      <w:bookmarkStart w:id="7" w:name="_Toc5172473"/>
      <w:r>
        <w:rPr>
          <w:rFonts w:hint="eastAsia"/>
        </w:rPr>
        <w:t xml:space="preserve">3.5数据采集传输仪 </w:t>
      </w:r>
      <w:bookmarkEnd w:id="7"/>
    </w:p>
    <w:p>
      <w:pPr>
        <w:pStyle w:val="68"/>
        <w:numPr>
          <w:ilvl w:val="0"/>
          <w:numId w:val="0"/>
        </w:numPr>
        <w:ind w:firstLine="424" w:firstLineChars="202"/>
      </w:pPr>
      <w:r>
        <w:rPr>
          <w:rFonts w:hint="eastAsia"/>
        </w:rPr>
        <w:t>采集各种类型监测仪器仪表的数据、完成数据存储及与上位机数据传输通讯功能的单片机、工控机、嵌入式计算机、可编程自动化控制器（PAC）或可编程逻辑控制器（PLC）等，简称数采仪。</w:t>
      </w:r>
    </w:p>
    <w:p>
      <w:pPr>
        <w:pStyle w:val="72"/>
        <w:numPr>
          <w:ilvl w:val="1"/>
          <w:numId w:val="0"/>
        </w:numPr>
        <w:spacing w:before="156" w:after="156"/>
      </w:pPr>
      <w:r>
        <w:rPr>
          <w:rFonts w:hint="eastAsia"/>
        </w:rPr>
        <w:t>3.6通讯协议</w:t>
      </w:r>
    </w:p>
    <w:p>
      <w:pPr>
        <w:pStyle w:val="68"/>
        <w:ind w:firstLine="420" w:firstLineChars="200"/>
      </w:pPr>
      <w:r>
        <w:rPr>
          <w:rFonts w:hint="eastAsia"/>
        </w:rPr>
        <w:t>通信双方对数据传送控制的一种约定。约定中包括对数据格式，同步方式，</w:t>
      </w:r>
      <w:r>
        <w:fldChar w:fldCharType="begin"/>
      </w:r>
      <w:r>
        <w:instrText xml:space="preserve"> HYPERLINK "https://baike.baidu.com/item/%E4%BC%A0%E9%80%81%E9%80%9F%E5%BA%A6" \t "_blank" </w:instrText>
      </w:r>
      <w:r>
        <w:fldChar w:fldCharType="separate"/>
      </w:r>
      <w:r>
        <w:rPr>
          <w:rFonts w:hint="eastAsia"/>
        </w:rPr>
        <w:t>传送速度</w:t>
      </w:r>
      <w:r>
        <w:rPr>
          <w:rFonts w:hint="eastAsia"/>
        </w:rPr>
        <w:fldChar w:fldCharType="end"/>
      </w:r>
      <w:r>
        <w:rPr>
          <w:rFonts w:hint="eastAsia"/>
        </w:rPr>
        <w:t>，传送步骤，检纠错方式以及</w:t>
      </w:r>
      <w:r>
        <w:fldChar w:fldCharType="begin"/>
      </w:r>
      <w:r>
        <w:instrText xml:space="preserve"> HYPERLINK "https://baike.baidu.com/item/%E6%8E%A7%E5%88%B6%E5%AD%97%E7%AC%A6" \t "_blank" </w:instrText>
      </w:r>
      <w:r>
        <w:fldChar w:fldCharType="separate"/>
      </w:r>
      <w:r>
        <w:rPr>
          <w:rFonts w:hint="eastAsia"/>
        </w:rPr>
        <w:t>控制字符</w:t>
      </w:r>
      <w:r>
        <w:rPr>
          <w:rFonts w:hint="eastAsia"/>
        </w:rPr>
        <w:fldChar w:fldCharType="end"/>
      </w:r>
      <w:r>
        <w:rPr>
          <w:rFonts w:hint="eastAsia"/>
        </w:rPr>
        <w:t>定义等问题做出统一规定，通信双方必须共同遵守，它也叫做链路控制规程。</w:t>
      </w:r>
    </w:p>
    <w:p>
      <w:pPr>
        <w:pStyle w:val="75"/>
        <w:spacing w:before="312" w:after="312"/>
        <w:rPr>
          <w:szCs w:val="22"/>
        </w:rPr>
      </w:pPr>
      <w:bookmarkStart w:id="8" w:name="_Toc5172474"/>
      <w:r>
        <w:rPr>
          <w:rFonts w:hint="eastAsia"/>
          <w:szCs w:val="22"/>
        </w:rPr>
        <w:t>4 PEMS系统的组成</w:t>
      </w:r>
      <w:bookmarkEnd w:id="8"/>
    </w:p>
    <w:p>
      <w:pPr>
        <w:pStyle w:val="68"/>
        <w:ind w:firstLine="420" w:firstLineChars="200"/>
      </w:pPr>
      <w:r>
        <w:t>PEMS系统由现场端</w:t>
      </w:r>
      <w:r>
        <w:rPr>
          <w:rFonts w:hint="eastAsia"/>
        </w:rPr>
        <w:t>监管</w:t>
      </w:r>
      <w:r>
        <w:t>系统</w:t>
      </w:r>
      <w:r>
        <w:rPr>
          <w:rFonts w:hint="eastAsia"/>
        </w:rPr>
        <w:t>和</w:t>
      </w:r>
      <w:r>
        <w:t>中心端</w:t>
      </w:r>
      <w:r>
        <w:rPr>
          <w:rFonts w:hint="eastAsia"/>
        </w:rPr>
        <w:t>监管平台</w:t>
      </w:r>
      <w:r>
        <w:t>两部分组成。具体构成参考图</w:t>
      </w:r>
      <w:r>
        <w:rPr>
          <w:rFonts w:hint="eastAsia"/>
        </w:rPr>
        <w:t>1。</w:t>
      </w:r>
    </w:p>
    <w:p>
      <w:pPr>
        <w:pStyle w:val="68"/>
        <w:ind w:firstLine="420" w:firstLineChars="200"/>
        <w:jc w:val="center"/>
      </w:pPr>
      <w:r>
        <w:rPr>
          <w:rFonts w:ascii="Times New Roman"/>
          <w:szCs w:val="21"/>
        </w:rPr>
        <w:drawing>
          <wp:inline distT="0" distB="0" distL="0" distR="0">
            <wp:extent cx="4055745" cy="2128520"/>
            <wp:effectExtent l="0" t="0" r="1905" b="5080"/>
            <wp:docPr id="1029" name="图片 21"/>
            <wp:cNvGraphicFramePr/>
            <a:graphic xmlns:a="http://schemas.openxmlformats.org/drawingml/2006/main">
              <a:graphicData uri="http://schemas.openxmlformats.org/drawingml/2006/picture">
                <pic:pic xmlns:pic="http://schemas.openxmlformats.org/drawingml/2006/picture">
                  <pic:nvPicPr>
                    <pic:cNvPr id="1029" name="图片 21"/>
                    <pic:cNvPicPr/>
                  </pic:nvPicPr>
                  <pic:blipFill>
                    <a:blip r:embed="rId5" cstate="print"/>
                    <a:srcRect/>
                    <a:stretch>
                      <a:fillRect/>
                    </a:stretch>
                  </pic:blipFill>
                  <pic:spPr>
                    <a:xfrm>
                      <a:off x="0" y="0"/>
                      <a:ext cx="4055745" cy="2128520"/>
                    </a:xfrm>
                    <a:prstGeom prst="rect">
                      <a:avLst/>
                    </a:prstGeom>
                    <a:ln>
                      <a:noFill/>
                    </a:ln>
                  </pic:spPr>
                </pic:pic>
              </a:graphicData>
            </a:graphic>
          </wp:inline>
        </w:drawing>
      </w:r>
    </w:p>
    <w:p>
      <w:pPr>
        <w:pStyle w:val="68"/>
        <w:jc w:val="center"/>
        <w:rPr>
          <w:rFonts w:ascii="Times New Roman"/>
          <w:szCs w:val="21"/>
        </w:rPr>
      </w:pPr>
      <w:r>
        <mc:AlternateContent>
          <mc:Choice Requires="wps">
            <w:drawing>
              <wp:anchor distT="0" distB="0" distL="114300" distR="114300" simplePos="0" relativeHeight="251659264" behindDoc="0" locked="0" layoutInCell="1" allowOverlap="1">
                <wp:simplePos x="0" y="0"/>
                <wp:positionH relativeFrom="column">
                  <wp:posOffset>-1379220</wp:posOffset>
                </wp:positionH>
                <wp:positionV relativeFrom="paragraph">
                  <wp:posOffset>1401445</wp:posOffset>
                </wp:positionV>
                <wp:extent cx="1200150" cy="1219200"/>
                <wp:effectExtent l="0" t="0" r="0" b="0"/>
                <wp:wrapNone/>
                <wp:docPr id="27" name="矩形 27"/>
                <wp:cNvGraphicFramePr/>
                <a:graphic xmlns:a="http://schemas.openxmlformats.org/drawingml/2006/main">
                  <a:graphicData uri="http://schemas.microsoft.com/office/word/2010/wordprocessingShape">
                    <wps:wsp>
                      <wps:cNvSpPr>
                        <a:spLocks noChangeArrowheads="1"/>
                      </wps:cNvSpPr>
                      <wps:spPr bwMode="auto">
                        <a:xfrm>
                          <a:off x="0" y="0"/>
                          <a:ext cx="1200150" cy="12192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08.6pt;margin-top:110.35pt;height:96pt;width:94.5pt;z-index:251659264;mso-width-relative:page;mso-height-relative:page;" fillcolor="#FFFFFF" filled="t" stroked="f" coordsize="21600,21600" o:gfxdata="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&#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aKvDvaAAAADAEAAA8AAAAAAAAAAQAgAAAAIgAAAGRy&#10;cy9kb3ducmV2LnhtbFBLAQIUABQAAAAIAIdO4kDuGFdaAwIAAOkDAAAOAAAAAAAAAAEAIAAAACkB&#10;AABkcnMvZTJvRG9jLnhtbFBLBQYAAAAABgAGAFkBAACeBQAAAAA=&#10;">
                <v:fill on="t" focussize="0,0"/>
                <v:stroke on="f"/>
                <v:imagedata o:title=""/>
                <o:lock v:ext="edit" aspectratio="f"/>
              </v:rect>
            </w:pict>
          </mc:Fallback>
        </mc:AlternateContent>
      </w:r>
      <w:r>
        <w:rPr>
          <w:rFonts w:hint="eastAsia" w:ascii="Times New Roman"/>
          <w:szCs w:val="21"/>
        </w:rPr>
        <w:t>图1  用电监管</w:t>
      </w:r>
      <w:r>
        <w:t>系统</w:t>
      </w:r>
      <w:r>
        <w:rPr>
          <w:rFonts w:hint="eastAsia"/>
        </w:rPr>
        <w:t>组成结构示意图</w:t>
      </w:r>
    </w:p>
    <w:p>
      <w:pPr>
        <w:pStyle w:val="72"/>
        <w:numPr>
          <w:ilvl w:val="1"/>
          <w:numId w:val="0"/>
        </w:numPr>
        <w:spacing w:before="156" w:after="156"/>
      </w:pPr>
      <w:bookmarkStart w:id="9" w:name="_Toc5172475"/>
      <w:r>
        <w:rPr>
          <w:rFonts w:hint="eastAsia"/>
        </w:rPr>
        <w:t>4.1现场端监测系统</w:t>
      </w:r>
      <w:bookmarkEnd w:id="9"/>
    </w:p>
    <w:p>
      <w:pPr>
        <w:pStyle w:val="68"/>
        <w:ind w:firstLine="420" w:firstLineChars="200"/>
      </w:pPr>
      <w:r>
        <w:t>由用电</w:t>
      </w:r>
      <w:r>
        <w:rPr>
          <w:rFonts w:hint="eastAsia"/>
        </w:rPr>
        <w:t>参数</w:t>
      </w:r>
      <w:r>
        <w:t>监测、数据采集传输和应用软件三个子系统组成。</w:t>
      </w:r>
    </w:p>
    <w:p>
      <w:pPr>
        <w:pStyle w:val="76"/>
        <w:spacing w:before="156" w:after="156"/>
        <w:rPr>
          <w:rFonts w:ascii="宋体" w:eastAsia="宋体"/>
        </w:rPr>
      </w:pPr>
      <w:r>
        <w:rPr>
          <w:rFonts w:hint="eastAsia" w:ascii="宋体" w:eastAsia="宋体"/>
        </w:rPr>
        <w:t>4.1.1</w:t>
      </w:r>
      <w:r>
        <w:rPr>
          <w:rFonts w:ascii="宋体" w:eastAsia="宋体"/>
        </w:rPr>
        <w:t>用电</w:t>
      </w:r>
      <w:r>
        <w:rPr>
          <w:rFonts w:hint="eastAsia" w:ascii="宋体" w:eastAsia="宋体"/>
        </w:rPr>
        <w:t>参数</w:t>
      </w:r>
      <w:r>
        <w:rPr>
          <w:rFonts w:ascii="宋体" w:eastAsia="宋体"/>
        </w:rPr>
        <w:t>监测子系统</w:t>
      </w:r>
    </w:p>
    <w:p>
      <w:pPr>
        <w:pStyle w:val="68"/>
        <w:ind w:firstLine="420" w:firstLineChars="200"/>
      </w:pPr>
      <w:r>
        <w:t>根据工艺设计，对</w:t>
      </w:r>
      <w:r>
        <w:rPr>
          <w:rFonts w:hint="eastAsia"/>
        </w:rPr>
        <w:t>反映</w:t>
      </w:r>
      <w:r>
        <w:t>生产设施、污染物治理设施</w:t>
      </w:r>
      <w:r>
        <w:rPr>
          <w:rFonts w:hint="eastAsia"/>
        </w:rPr>
        <w:t>总体</w:t>
      </w:r>
      <w:r>
        <w:t>运行</w:t>
      </w:r>
      <w:r>
        <w:rPr>
          <w:rFonts w:hint="eastAsia"/>
        </w:rPr>
        <w:t>状态</w:t>
      </w:r>
      <w:r>
        <w:t>的电气参数（电流、电压、功率、功率因数、电量</w:t>
      </w:r>
      <w:r>
        <w:rPr>
          <w:rFonts w:hint="eastAsia"/>
        </w:rPr>
        <w:t>、电能质量</w:t>
      </w:r>
      <w:r>
        <w:t>等）进行监测的子系统。</w:t>
      </w:r>
    </w:p>
    <w:p>
      <w:pPr>
        <w:pStyle w:val="76"/>
        <w:spacing w:before="156" w:after="156"/>
        <w:rPr>
          <w:rFonts w:ascii="宋体" w:eastAsia="宋体"/>
        </w:rPr>
      </w:pPr>
      <w:r>
        <w:rPr>
          <w:rFonts w:hint="eastAsia" w:ascii="宋体" w:eastAsia="宋体"/>
        </w:rPr>
        <w:t>4.1.2</w:t>
      </w:r>
      <w:r>
        <w:rPr>
          <w:rFonts w:ascii="宋体" w:eastAsia="宋体"/>
        </w:rPr>
        <w:t>数据采集传输子系统</w:t>
      </w:r>
    </w:p>
    <w:p>
      <w:pPr>
        <w:numPr>
          <w:ilvl w:val="0"/>
          <w:numId w:val="2"/>
        </w:numPr>
        <w:spacing w:before="120" w:after="120"/>
        <w:ind w:firstLine="424" w:firstLineChars="202"/>
        <w:rPr>
          <w:rFonts w:ascii="宋体"/>
        </w:rPr>
      </w:pPr>
      <w:r>
        <w:t>采集、存储</w:t>
      </w:r>
      <w:r>
        <w:rPr>
          <w:rFonts w:hint="eastAsia"/>
        </w:rPr>
        <w:t>用电</w:t>
      </w:r>
      <w:r>
        <w:t>参数监测子系统的数据，并按照</w:t>
      </w:r>
      <w:r>
        <w:rPr>
          <w:rFonts w:hint="eastAsia"/>
        </w:rPr>
        <w:t>HJ212</w:t>
      </w:r>
      <w:r>
        <w:t>《污染物在线监测（监测）系统数据传输标准》和本技术指南规定，</w:t>
      </w:r>
      <w:r>
        <w:rPr>
          <w:rFonts w:hint="eastAsia"/>
        </w:rPr>
        <w:t>将数据传输至中心端污染治理设施用电监管平台。</w:t>
      </w:r>
    </w:p>
    <w:p>
      <w:pPr>
        <w:numPr>
          <w:ilvl w:val="0"/>
          <w:numId w:val="2"/>
        </w:numPr>
        <w:spacing w:before="120" w:after="120"/>
        <w:rPr>
          <w:rFonts w:ascii="宋体"/>
        </w:rPr>
      </w:pPr>
      <w:r>
        <w:rPr>
          <w:rFonts w:hint="eastAsia" w:ascii="宋体"/>
        </w:rPr>
        <w:t>4.1.3</w:t>
      </w:r>
      <w:r>
        <w:rPr>
          <w:rFonts w:ascii="宋体"/>
        </w:rPr>
        <w:t>应用软件子系统</w:t>
      </w:r>
    </w:p>
    <w:p>
      <w:pPr>
        <w:pStyle w:val="68"/>
        <w:ind w:firstLine="420" w:firstLineChars="200"/>
      </w:pPr>
      <w:r>
        <w:rPr>
          <w:rFonts w:hint="eastAsia"/>
        </w:rPr>
        <w:t>由中心端污染治理设施用电监管平台提供给排污单位使用，</w:t>
      </w:r>
      <w:r>
        <w:t>与</w:t>
      </w:r>
      <w:r>
        <w:rPr>
          <w:rFonts w:hint="eastAsia"/>
        </w:rPr>
        <w:t>用电参数监测子系统进行通讯，在企业端</w:t>
      </w:r>
      <w:r>
        <w:t>实现</w:t>
      </w:r>
      <w:r>
        <w:rPr>
          <w:rFonts w:hint="eastAsia"/>
        </w:rPr>
        <w:t>信息采集</w:t>
      </w:r>
      <w:r>
        <w:t>、安装调试、设备</w:t>
      </w:r>
      <w:r>
        <w:rPr>
          <w:rFonts w:hint="eastAsia"/>
        </w:rPr>
        <w:t>监控、</w:t>
      </w:r>
      <w:r>
        <w:t>数据存储</w:t>
      </w:r>
      <w:r>
        <w:rPr>
          <w:rFonts w:hint="eastAsia"/>
        </w:rPr>
        <w:t>、</w:t>
      </w:r>
      <w:r>
        <w:t>数据分析判断</w:t>
      </w:r>
      <w:r>
        <w:rPr>
          <w:rFonts w:hint="eastAsia"/>
        </w:rPr>
        <w:t>、</w:t>
      </w:r>
      <w:r>
        <w:t>信息备案</w:t>
      </w:r>
      <w:r>
        <w:rPr>
          <w:rFonts w:hint="eastAsia"/>
        </w:rPr>
        <w:t>、</w:t>
      </w:r>
      <w:r>
        <w:t>资料下载</w:t>
      </w:r>
      <w:r>
        <w:rPr>
          <w:rFonts w:hint="eastAsia"/>
        </w:rPr>
        <w:t>、</w:t>
      </w:r>
      <w:r>
        <w:t>事件报警等功能。</w:t>
      </w:r>
    </w:p>
    <w:p>
      <w:pPr>
        <w:pStyle w:val="72"/>
        <w:numPr>
          <w:ilvl w:val="1"/>
          <w:numId w:val="0"/>
        </w:numPr>
        <w:spacing w:before="156" w:after="156"/>
      </w:pPr>
      <w:bookmarkStart w:id="10" w:name="_Toc5172476"/>
      <w:r>
        <w:rPr>
          <w:rFonts w:hint="eastAsia"/>
        </w:rPr>
        <w:t>4.2中心端</w:t>
      </w:r>
      <w:bookmarkEnd w:id="10"/>
      <w:r>
        <w:rPr>
          <w:rFonts w:hint="eastAsia"/>
        </w:rPr>
        <w:t>污染治理设施用电监管平台</w:t>
      </w:r>
    </w:p>
    <w:p>
      <w:pPr>
        <w:pStyle w:val="68"/>
        <w:ind w:firstLine="420" w:firstLineChars="200"/>
      </w:pPr>
      <w:r>
        <w:t>中心端</w:t>
      </w:r>
      <w:r>
        <w:rPr>
          <w:rFonts w:hint="eastAsia"/>
        </w:rPr>
        <w:t>污染治理设施用电监管平台</w:t>
      </w:r>
      <w:r>
        <w:t>用于接</w:t>
      </w:r>
      <w:r>
        <w:rPr>
          <w:rFonts w:hint="eastAsia"/>
        </w:rPr>
        <w:t>收</w:t>
      </w:r>
      <w:r>
        <w:t>现场端监测系统传输的信息，实现现场数据的汇总、报警管理、统计分析等，远程实时掌握生产设施和治污设施运行状况。</w:t>
      </w:r>
    </w:p>
    <w:p>
      <w:pPr>
        <w:pStyle w:val="68"/>
        <w:ind w:firstLine="420" w:firstLineChars="200"/>
      </w:pPr>
      <w:r>
        <w:t>中心端</w:t>
      </w:r>
      <w:r>
        <w:rPr>
          <w:rFonts w:hint="eastAsia"/>
        </w:rPr>
        <w:t>污染治理设施用电监管平台</w:t>
      </w:r>
      <w:r>
        <w:t>能够对生产设施、污染物治理设施的运行状态进行关联分析，及时发现</w:t>
      </w:r>
      <w:r>
        <w:rPr>
          <w:rFonts w:hint="eastAsia"/>
        </w:rPr>
        <w:t>污染</w:t>
      </w:r>
      <w:r>
        <w:t>治理设</w:t>
      </w:r>
      <w:r>
        <w:rPr>
          <w:rFonts w:hint="eastAsia"/>
        </w:rPr>
        <w:t>施</w:t>
      </w:r>
      <w:r>
        <w:t>未开启、异常关闭及减速、空转、降频等异常情况，</w:t>
      </w:r>
      <w:r>
        <w:rPr>
          <w:rFonts w:hint="eastAsia"/>
        </w:rPr>
        <w:t>并</w:t>
      </w:r>
      <w:r>
        <w:t>通知相关人员。</w:t>
      </w:r>
    </w:p>
    <w:p>
      <w:pPr>
        <w:pStyle w:val="68"/>
        <w:ind w:firstLine="420" w:firstLineChars="200"/>
      </w:pPr>
      <w:r>
        <w:t>中心端</w:t>
      </w:r>
      <w:r>
        <w:rPr>
          <w:rFonts w:hint="eastAsia"/>
        </w:rPr>
        <w:t>污染治理设施用电监管平台</w:t>
      </w:r>
      <w:r>
        <w:t>对执行停产、限产</w:t>
      </w:r>
      <w:r>
        <w:rPr>
          <w:rFonts w:hint="eastAsia"/>
        </w:rPr>
        <w:t>、错峰生产等调控指令的</w:t>
      </w:r>
      <w:r>
        <w:t>生产设施进行监测，将</w:t>
      </w:r>
      <w:r>
        <w:rPr>
          <w:rFonts w:hint="eastAsia"/>
        </w:rPr>
        <w:t>调控</w:t>
      </w:r>
      <w:r>
        <w:t>期间违规生产</w:t>
      </w:r>
      <w:r>
        <w:rPr>
          <w:rFonts w:hint="eastAsia"/>
        </w:rPr>
        <w:t>情况</w:t>
      </w:r>
      <w:r>
        <w:t>通知相关人员，对</w:t>
      </w:r>
      <w:r>
        <w:rPr>
          <w:rFonts w:hint="eastAsia"/>
        </w:rPr>
        <w:t>调控指令执行的</w:t>
      </w:r>
      <w:r>
        <w:t>总体情况进行统计分析。</w:t>
      </w:r>
    </w:p>
    <w:p>
      <w:pPr>
        <w:numPr>
          <w:ilvl w:val="0"/>
          <w:numId w:val="2"/>
        </w:numPr>
        <w:ind w:firstLine="424" w:firstLineChars="202"/>
        <w:rPr>
          <w:rFonts w:ascii="宋体" w:hAnsi="Times New Roman" w:cs="Times New Roman"/>
          <w:kern w:val="0"/>
          <w:szCs w:val="20"/>
        </w:rPr>
      </w:pPr>
      <w:r>
        <w:rPr>
          <w:rFonts w:hint="eastAsia" w:ascii="宋体" w:hAnsi="Times New Roman" w:cs="Times New Roman"/>
          <w:kern w:val="0"/>
          <w:szCs w:val="20"/>
        </w:rPr>
        <w:t>中心端</w:t>
      </w:r>
      <w:r>
        <w:rPr>
          <w:rFonts w:hint="eastAsia"/>
        </w:rPr>
        <w:t>污染治理设施用电监管平台</w:t>
      </w:r>
      <w:r>
        <w:rPr>
          <w:rFonts w:hint="eastAsia" w:ascii="宋体" w:hAnsi="Times New Roman" w:cs="Times New Roman"/>
          <w:kern w:val="0"/>
          <w:szCs w:val="20"/>
        </w:rPr>
        <w:t>省市分级建设，原始数据通过数采仪“一址多发”直传省市两级平台，省市平台间点位编码、报警督办、运行维护等工作数据通过省市数据交换保持同步，保证一数一源。</w:t>
      </w:r>
    </w:p>
    <w:p>
      <w:pPr>
        <w:pStyle w:val="68"/>
        <w:ind w:firstLine="420" w:firstLineChars="200"/>
      </w:pPr>
      <w:r>
        <w:t>中心端</w:t>
      </w:r>
      <w:r>
        <w:rPr>
          <w:rFonts w:hint="eastAsia"/>
        </w:rPr>
        <w:t>污染治理设施用电监管平台应提供web浏览器</w:t>
      </w:r>
      <w:r>
        <w:t>、手机APP等</w:t>
      </w:r>
      <w:r>
        <w:rPr>
          <w:rFonts w:hint="eastAsia"/>
        </w:rPr>
        <w:t>用户访问</w:t>
      </w:r>
      <w:r>
        <w:t>功能，</w:t>
      </w:r>
      <w:r>
        <w:rPr>
          <w:rFonts w:hint="eastAsia"/>
        </w:rPr>
        <w:t>提供短信</w:t>
      </w:r>
      <w:r>
        <w:t>、APP等告警方式</w:t>
      </w:r>
      <w:r>
        <w:rPr>
          <w:rFonts w:hint="eastAsia"/>
        </w:rPr>
        <w:t>，</w:t>
      </w:r>
      <w:r>
        <w:t>并提供排污单位用户对报警信息进行处理的功能。现场施工单位、</w:t>
      </w:r>
      <w:r>
        <w:rPr>
          <w:rFonts w:hint="eastAsia"/>
        </w:rPr>
        <w:t>排污单位可</w:t>
      </w:r>
      <w:r>
        <w:t>按权限登陆</w:t>
      </w:r>
      <w:r>
        <w:rPr>
          <w:rFonts w:hint="eastAsia"/>
        </w:rPr>
        <w:t>用电监管平台</w:t>
      </w:r>
      <w:r>
        <w:t>进行情况说明等</w:t>
      </w:r>
      <w:r>
        <w:rPr>
          <w:rFonts w:hint="eastAsia"/>
        </w:rPr>
        <w:t>信息</w:t>
      </w:r>
      <w:r>
        <w:t>更新维护操作。</w:t>
      </w:r>
    </w:p>
    <w:p>
      <w:pPr>
        <w:pStyle w:val="75"/>
        <w:spacing w:before="312" w:after="312"/>
        <w:rPr>
          <w:szCs w:val="22"/>
        </w:rPr>
      </w:pPr>
      <w:bookmarkStart w:id="11" w:name="_Toc5172477"/>
      <w:r>
        <w:rPr>
          <w:rFonts w:hint="eastAsia"/>
          <w:szCs w:val="22"/>
        </w:rPr>
        <w:t>5 PEMS技术指南</w:t>
      </w:r>
      <w:bookmarkEnd w:id="11"/>
    </w:p>
    <w:p>
      <w:pPr>
        <w:pStyle w:val="72"/>
        <w:numPr>
          <w:ilvl w:val="1"/>
          <w:numId w:val="0"/>
        </w:numPr>
        <w:spacing w:before="156" w:after="156"/>
      </w:pPr>
      <w:bookmarkStart w:id="12" w:name="_Toc5172478"/>
      <w:r>
        <w:rPr>
          <w:rFonts w:hint="eastAsia"/>
        </w:rPr>
        <w:t>5.1 P</w:t>
      </w:r>
      <w:r>
        <w:t>EMS采集</w:t>
      </w:r>
      <w:bookmarkEnd w:id="12"/>
      <w:r>
        <w:rPr>
          <w:rFonts w:hint="eastAsia"/>
        </w:rPr>
        <w:t>的数据参数</w:t>
      </w:r>
    </w:p>
    <w:p>
      <w:pPr>
        <w:pStyle w:val="68"/>
        <w:ind w:firstLine="420" w:firstLineChars="200"/>
        <w:rPr>
          <w:szCs w:val="21"/>
        </w:rPr>
      </w:pPr>
      <w:r>
        <w:rPr>
          <w:rFonts w:hint="eastAsia"/>
          <w:szCs w:val="21"/>
        </w:rPr>
        <w:t>P</w:t>
      </w:r>
      <w:r>
        <w:rPr>
          <w:szCs w:val="21"/>
        </w:rPr>
        <w:t>EMS现场端</w:t>
      </w:r>
      <w:r>
        <w:rPr>
          <w:rFonts w:hint="eastAsia"/>
          <w:szCs w:val="21"/>
        </w:rPr>
        <w:t>用电监管设备应能</w:t>
      </w:r>
      <w:r>
        <w:rPr>
          <w:szCs w:val="21"/>
        </w:rPr>
        <w:t>采集</w:t>
      </w:r>
      <w:r>
        <w:rPr>
          <w:rFonts w:hint="eastAsia"/>
          <w:szCs w:val="21"/>
        </w:rPr>
        <w:t>以下基本</w:t>
      </w:r>
      <w:r>
        <w:rPr>
          <w:szCs w:val="21"/>
        </w:rPr>
        <w:t>数据项：</w:t>
      </w:r>
    </w:p>
    <w:p>
      <w:pPr>
        <w:pStyle w:val="68"/>
        <w:ind w:firstLine="420" w:firstLineChars="200"/>
        <w:rPr>
          <w:szCs w:val="21"/>
        </w:rPr>
      </w:pPr>
      <w:r>
        <w:rPr>
          <w:rFonts w:hint="eastAsia"/>
          <w:szCs w:val="21"/>
        </w:rPr>
        <w:t>（1）</w:t>
      </w:r>
      <w:r>
        <w:rPr>
          <w:szCs w:val="21"/>
        </w:rPr>
        <w:t>正反向有功、无功电能</w:t>
      </w:r>
      <w:r>
        <w:rPr>
          <w:rFonts w:hint="eastAsia"/>
          <w:szCs w:val="21"/>
        </w:rPr>
        <w:t>;</w:t>
      </w:r>
    </w:p>
    <w:p>
      <w:pPr>
        <w:pStyle w:val="68"/>
        <w:ind w:firstLine="420" w:firstLineChars="200"/>
        <w:rPr>
          <w:szCs w:val="21"/>
        </w:rPr>
      </w:pPr>
      <w:r>
        <w:rPr>
          <w:rFonts w:hint="eastAsia"/>
          <w:szCs w:val="21"/>
        </w:rPr>
        <w:t>（2）</w:t>
      </w:r>
      <w:r>
        <w:rPr>
          <w:szCs w:val="21"/>
        </w:rPr>
        <w:t>各相及总有功功率、无功功率、功率因数</w:t>
      </w:r>
      <w:r>
        <w:rPr>
          <w:rFonts w:hint="eastAsia"/>
          <w:szCs w:val="21"/>
        </w:rPr>
        <w:t>;</w:t>
      </w:r>
    </w:p>
    <w:p>
      <w:pPr>
        <w:pStyle w:val="68"/>
        <w:ind w:firstLine="420" w:firstLineChars="200"/>
        <w:rPr>
          <w:szCs w:val="21"/>
        </w:rPr>
      </w:pPr>
      <w:r>
        <w:rPr>
          <w:rFonts w:hint="eastAsia"/>
          <w:szCs w:val="21"/>
        </w:rPr>
        <w:t>（3）</w:t>
      </w:r>
      <w:r>
        <w:rPr>
          <w:szCs w:val="21"/>
        </w:rPr>
        <w:t>各相电流、电压</w:t>
      </w:r>
      <w:r>
        <w:rPr>
          <w:rFonts w:hint="eastAsia"/>
          <w:szCs w:val="21"/>
        </w:rPr>
        <w:t>、相位角;</w:t>
      </w:r>
    </w:p>
    <w:p>
      <w:pPr>
        <w:pStyle w:val="68"/>
        <w:ind w:firstLine="420" w:firstLineChars="200"/>
        <w:rPr>
          <w:szCs w:val="21"/>
        </w:rPr>
      </w:pPr>
      <w:r>
        <w:rPr>
          <w:rFonts w:hint="eastAsia"/>
          <w:szCs w:val="21"/>
        </w:rPr>
        <w:t>（4）</w:t>
      </w:r>
      <w:r>
        <w:rPr>
          <w:szCs w:val="21"/>
        </w:rPr>
        <w:t>总有功电量</w:t>
      </w:r>
      <w:r>
        <w:rPr>
          <w:rFonts w:hint="eastAsia"/>
          <w:szCs w:val="21"/>
        </w:rPr>
        <w:t>;</w:t>
      </w:r>
    </w:p>
    <w:p>
      <w:pPr>
        <w:pStyle w:val="68"/>
        <w:ind w:firstLine="420" w:firstLineChars="200"/>
        <w:rPr>
          <w:szCs w:val="21"/>
        </w:rPr>
      </w:pPr>
      <w:r>
        <w:rPr>
          <w:rFonts w:hint="eastAsia"/>
          <w:szCs w:val="21"/>
        </w:rPr>
        <w:t>（5）</w:t>
      </w:r>
      <w:r>
        <w:rPr>
          <w:szCs w:val="21"/>
        </w:rPr>
        <w:t>总无功电量</w:t>
      </w:r>
      <w:r>
        <w:rPr>
          <w:rFonts w:hint="eastAsia"/>
          <w:szCs w:val="21"/>
        </w:rPr>
        <w:t>；</w:t>
      </w:r>
    </w:p>
    <w:p>
      <w:pPr>
        <w:pStyle w:val="68"/>
        <w:ind w:firstLine="420" w:firstLineChars="200"/>
        <w:rPr>
          <w:szCs w:val="21"/>
        </w:rPr>
      </w:pPr>
      <w:r>
        <w:rPr>
          <w:rFonts w:hint="eastAsia"/>
          <w:szCs w:val="21"/>
        </w:rPr>
        <w:t>（6）必要的</w:t>
      </w:r>
      <w:r>
        <w:rPr>
          <w:szCs w:val="21"/>
        </w:rPr>
        <w:t>非电气量数据</w:t>
      </w:r>
      <w:r>
        <w:rPr>
          <w:rFonts w:hint="eastAsia"/>
          <w:szCs w:val="21"/>
        </w:rPr>
        <w:t>，如气动开关量、气压计示数、温度等。</w:t>
      </w:r>
    </w:p>
    <w:p>
      <w:pPr>
        <w:pStyle w:val="68"/>
        <w:ind w:firstLine="420" w:firstLineChars="200"/>
        <w:rPr>
          <w:szCs w:val="21"/>
        </w:rPr>
      </w:pPr>
      <w:r>
        <w:rPr>
          <w:szCs w:val="21"/>
        </w:rPr>
        <w:t>现场端</w:t>
      </w:r>
      <w:r>
        <w:rPr>
          <w:rFonts w:hint="eastAsia"/>
          <w:szCs w:val="21"/>
        </w:rPr>
        <w:t>用电监管设备可选择采集以下</w:t>
      </w:r>
      <w:r>
        <w:rPr>
          <w:szCs w:val="21"/>
        </w:rPr>
        <w:t>数据项：</w:t>
      </w:r>
    </w:p>
    <w:p>
      <w:pPr>
        <w:pStyle w:val="68"/>
        <w:ind w:firstLine="420" w:firstLineChars="200"/>
        <w:rPr>
          <w:szCs w:val="21"/>
        </w:rPr>
      </w:pPr>
      <w:r>
        <w:rPr>
          <w:rFonts w:hint="eastAsia"/>
          <w:szCs w:val="21"/>
        </w:rPr>
        <w:t>（1）</w:t>
      </w:r>
      <w:r>
        <w:rPr>
          <w:szCs w:val="21"/>
        </w:rPr>
        <w:t>最大需量及其发生时间</w:t>
      </w:r>
      <w:r>
        <w:rPr>
          <w:rFonts w:hint="eastAsia"/>
          <w:szCs w:val="21"/>
        </w:rPr>
        <w:t>;</w:t>
      </w:r>
    </w:p>
    <w:p>
      <w:pPr>
        <w:pStyle w:val="68"/>
        <w:ind w:firstLine="420" w:firstLineChars="200"/>
        <w:rPr>
          <w:szCs w:val="21"/>
        </w:rPr>
      </w:pPr>
      <w:r>
        <w:rPr>
          <w:rFonts w:hint="eastAsia"/>
          <w:szCs w:val="21"/>
        </w:rPr>
        <w:t>（2）</w:t>
      </w:r>
      <w:r>
        <w:rPr>
          <w:szCs w:val="21"/>
        </w:rPr>
        <w:t>漏电电流检测</w:t>
      </w:r>
      <w:r>
        <w:rPr>
          <w:rFonts w:hint="eastAsia"/>
          <w:szCs w:val="21"/>
        </w:rPr>
        <w:t>;</w:t>
      </w:r>
    </w:p>
    <w:p>
      <w:pPr>
        <w:pStyle w:val="68"/>
        <w:ind w:firstLine="420" w:firstLineChars="200"/>
        <w:rPr>
          <w:szCs w:val="21"/>
        </w:rPr>
      </w:pPr>
      <w:r>
        <w:rPr>
          <w:rFonts w:hint="eastAsia"/>
          <w:szCs w:val="21"/>
        </w:rPr>
        <w:t>（3）</w:t>
      </w:r>
      <w:r>
        <w:rPr>
          <w:szCs w:val="21"/>
        </w:rPr>
        <w:t>谐波总畸变率</w:t>
      </w:r>
      <w:r>
        <w:rPr>
          <w:rFonts w:hint="eastAsia"/>
          <w:szCs w:val="21"/>
        </w:rPr>
        <w:t>;</w:t>
      </w:r>
    </w:p>
    <w:p>
      <w:pPr>
        <w:pStyle w:val="68"/>
        <w:ind w:firstLine="420" w:firstLineChars="200"/>
        <w:rPr>
          <w:szCs w:val="21"/>
        </w:rPr>
      </w:pPr>
      <w:r>
        <w:rPr>
          <w:rFonts w:hint="eastAsia"/>
          <w:szCs w:val="21"/>
        </w:rPr>
        <w:t>（4）总谐波电流（总表线路）;</w:t>
      </w:r>
    </w:p>
    <w:p>
      <w:pPr>
        <w:pStyle w:val="68"/>
        <w:ind w:firstLine="420" w:firstLineChars="200"/>
        <w:rPr>
          <w:szCs w:val="21"/>
        </w:rPr>
      </w:pPr>
      <w:r>
        <w:rPr>
          <w:rFonts w:hint="eastAsia"/>
          <w:szCs w:val="21"/>
        </w:rPr>
        <w:t>（5）总谐波电压（总表线路）；</w:t>
      </w:r>
    </w:p>
    <w:p>
      <w:pPr>
        <w:pStyle w:val="68"/>
        <w:ind w:firstLine="420" w:firstLineChars="200"/>
        <w:rPr>
          <w:szCs w:val="21"/>
        </w:rPr>
      </w:pPr>
      <w:r>
        <w:rPr>
          <w:rFonts w:hint="eastAsia"/>
          <w:szCs w:val="21"/>
        </w:rPr>
        <w:t>（6）电缆温度。</w:t>
      </w:r>
    </w:p>
    <w:p>
      <w:pPr>
        <w:pStyle w:val="68"/>
        <w:ind w:firstLine="420" w:firstLineChars="200"/>
        <w:rPr>
          <w:szCs w:val="21"/>
        </w:rPr>
      </w:pPr>
      <w:r>
        <w:rPr>
          <w:szCs w:val="21"/>
        </w:rPr>
        <w:t>现场端</w:t>
      </w:r>
      <w:r>
        <w:rPr>
          <w:rFonts w:hint="eastAsia"/>
          <w:szCs w:val="21"/>
        </w:rPr>
        <w:t>用电监管设备应能</w:t>
      </w:r>
      <w:r>
        <w:rPr>
          <w:szCs w:val="21"/>
        </w:rPr>
        <w:t>采集</w:t>
      </w:r>
      <w:r>
        <w:rPr>
          <w:rFonts w:hint="eastAsia"/>
          <w:szCs w:val="21"/>
        </w:rPr>
        <w:t>以下事件记录及上报功能</w:t>
      </w:r>
      <w:r>
        <w:rPr>
          <w:szCs w:val="21"/>
        </w:rPr>
        <w:t>：</w:t>
      </w:r>
    </w:p>
    <w:p>
      <w:pPr>
        <w:pStyle w:val="68"/>
        <w:ind w:firstLine="420" w:firstLineChars="200"/>
        <w:rPr>
          <w:szCs w:val="21"/>
        </w:rPr>
      </w:pPr>
      <w:r>
        <w:rPr>
          <w:rFonts w:hint="eastAsia"/>
          <w:szCs w:val="21"/>
        </w:rPr>
        <w:t>（1）</w:t>
      </w:r>
      <w:r>
        <w:rPr>
          <w:szCs w:val="21"/>
        </w:rPr>
        <w:t>事件包括：</w:t>
      </w:r>
      <w:r>
        <w:rPr>
          <w:rFonts w:hint="eastAsia"/>
          <w:szCs w:val="21"/>
        </w:rPr>
        <w:t>停上电事件、电流回路异常事件、电压回路异常事件、电压电流不平衡事件、</w:t>
      </w:r>
      <w:r>
        <w:rPr>
          <w:szCs w:val="21"/>
        </w:rPr>
        <w:t>电</w:t>
      </w:r>
      <w:r>
        <w:rPr>
          <w:rFonts w:hint="eastAsia"/>
          <w:szCs w:val="21"/>
        </w:rPr>
        <w:t>流</w:t>
      </w:r>
      <w:r>
        <w:rPr>
          <w:szCs w:val="21"/>
        </w:rPr>
        <w:t>不平衡</w:t>
      </w:r>
      <w:r>
        <w:rPr>
          <w:rFonts w:hint="eastAsia"/>
          <w:szCs w:val="21"/>
        </w:rPr>
        <w:t>事件</w:t>
      </w:r>
      <w:r>
        <w:rPr>
          <w:szCs w:val="21"/>
        </w:rPr>
        <w:t>、</w:t>
      </w:r>
      <w:r>
        <w:rPr>
          <w:rFonts w:hint="eastAsia"/>
          <w:szCs w:val="21"/>
        </w:rPr>
        <w:t>电压越限事件、电流越限事件、功率越限事件、正向有功需量越限事件、版本变更事件、温度越限事件。</w:t>
      </w:r>
    </w:p>
    <w:p>
      <w:pPr>
        <w:pStyle w:val="68"/>
        <w:ind w:firstLine="420" w:firstLineChars="200"/>
        <w:rPr>
          <w:szCs w:val="21"/>
        </w:rPr>
      </w:pPr>
      <w:r>
        <w:rPr>
          <w:rFonts w:hint="eastAsia"/>
          <w:szCs w:val="21"/>
        </w:rPr>
        <w:t>（2）每种类型的事件均需记录</w:t>
      </w:r>
      <w:r>
        <w:rPr>
          <w:szCs w:val="21"/>
        </w:rPr>
        <w:t>最近</w:t>
      </w:r>
      <w:r>
        <w:rPr>
          <w:rFonts w:hint="eastAsia"/>
          <w:szCs w:val="21"/>
        </w:rPr>
        <w:t>10条。</w:t>
      </w:r>
    </w:p>
    <w:p>
      <w:pPr>
        <w:pStyle w:val="68"/>
        <w:ind w:firstLine="420" w:firstLineChars="200"/>
        <w:rPr>
          <w:szCs w:val="21"/>
        </w:rPr>
      </w:pPr>
      <w:r>
        <w:rPr>
          <w:rFonts w:hint="eastAsia"/>
          <w:szCs w:val="21"/>
        </w:rPr>
        <w:t>（3）监测设备停电后，需15秒内停电事件上报中心端平台。</w:t>
      </w:r>
    </w:p>
    <w:p>
      <w:pPr>
        <w:pStyle w:val="72"/>
        <w:numPr>
          <w:ilvl w:val="1"/>
          <w:numId w:val="0"/>
        </w:numPr>
        <w:spacing w:before="156" w:after="156"/>
      </w:pPr>
      <w:bookmarkStart w:id="13" w:name="_Toc5172479"/>
      <w:r>
        <w:rPr>
          <w:rFonts w:hint="eastAsia"/>
        </w:rPr>
        <w:t>5.2现场端设备要求</w:t>
      </w:r>
      <w:bookmarkEnd w:id="13"/>
    </w:p>
    <w:p>
      <w:pPr>
        <w:pStyle w:val="68"/>
        <w:ind w:firstLine="420" w:firstLineChars="200"/>
        <w:rPr>
          <w:szCs w:val="22"/>
        </w:rPr>
      </w:pPr>
      <w:r>
        <w:rPr>
          <w:rFonts w:hint="eastAsia"/>
          <w:szCs w:val="22"/>
        </w:rPr>
        <w:t>现场端设备包括用电监管设备、数据采集传输仪，以及电流互感器等其它辅助设备。</w:t>
      </w:r>
    </w:p>
    <w:p>
      <w:pPr>
        <w:pStyle w:val="76"/>
        <w:spacing w:before="156" w:after="156"/>
        <w:ind w:firstLine="424" w:firstLineChars="202"/>
        <w:jc w:val="both"/>
        <w:rPr>
          <w:rFonts w:ascii="宋体" w:eastAsia="宋体"/>
        </w:rPr>
      </w:pPr>
      <w:r>
        <w:rPr>
          <w:rFonts w:hint="eastAsia" w:ascii="宋体" w:eastAsia="宋体"/>
        </w:rPr>
        <w:t>（1）用电监管设备</w:t>
      </w:r>
      <w:r>
        <w:rPr>
          <w:rFonts w:ascii="宋体" w:eastAsia="宋体"/>
        </w:rPr>
        <w:t>应采用一体化、小型化设计，除</w:t>
      </w:r>
      <w:r>
        <w:rPr>
          <w:rFonts w:hint="eastAsia" w:ascii="宋体" w:eastAsia="宋体"/>
        </w:rPr>
        <w:t>总表、母线槽分路、铜排出线分路、或</w:t>
      </w:r>
      <w:r>
        <w:rPr>
          <w:rFonts w:ascii="宋体" w:eastAsia="宋体"/>
        </w:rPr>
        <w:t>300</w:t>
      </w:r>
      <w:r>
        <w:rPr>
          <w:rFonts w:hint="eastAsia" w:ascii="宋体" w:eastAsia="宋体"/>
        </w:rPr>
        <w:t>平方毫米以上电缆出线分路外</w:t>
      </w:r>
      <w:r>
        <w:rPr>
          <w:rFonts w:ascii="宋体" w:eastAsia="宋体"/>
        </w:rPr>
        <w:t>，其它分路数据需采用1</w:t>
      </w:r>
      <w:r>
        <w:rPr>
          <w:rFonts w:hint="eastAsia" w:ascii="宋体" w:eastAsia="宋体"/>
        </w:rPr>
        <w:t>:</w:t>
      </w:r>
      <w:r>
        <w:rPr>
          <w:rFonts w:ascii="宋体" w:eastAsia="宋体"/>
        </w:rPr>
        <w:t>1直传方式</w:t>
      </w:r>
      <w:r>
        <w:rPr>
          <w:rFonts w:hint="eastAsia" w:ascii="宋体" w:eastAsia="宋体"/>
        </w:rPr>
        <w:t>仪表</w:t>
      </w:r>
      <w:r>
        <w:rPr>
          <w:rFonts w:ascii="宋体" w:eastAsia="宋体"/>
        </w:rPr>
        <w:t>（一次侧数据直采直传）。</w:t>
      </w:r>
      <w:r>
        <w:rPr>
          <w:rFonts w:hint="eastAsia" w:ascii="宋体" w:eastAsia="宋体"/>
        </w:rPr>
        <w:t>铜排出线分路或</w:t>
      </w:r>
      <w:r>
        <w:rPr>
          <w:rFonts w:ascii="宋体" w:eastAsia="宋体"/>
        </w:rPr>
        <w:t>300</w:t>
      </w:r>
      <w:r>
        <w:rPr>
          <w:rFonts w:hint="eastAsia" w:ascii="宋体" w:eastAsia="宋体"/>
        </w:rPr>
        <w:t>平方毫米以上电缆出线分路可采用互感式仪表。</w:t>
      </w:r>
      <w:r>
        <w:rPr>
          <w:rFonts w:ascii="宋体" w:eastAsia="宋体"/>
        </w:rPr>
        <w:t>设备应在醒目处标识产品铭牌，铭牌标识应符合GB/T13306的要求。</w:t>
      </w:r>
    </w:p>
    <w:p>
      <w:pPr>
        <w:pStyle w:val="76"/>
        <w:spacing w:before="156" w:after="156"/>
        <w:ind w:firstLine="424" w:firstLineChars="202"/>
        <w:jc w:val="both"/>
        <w:rPr>
          <w:rFonts w:ascii="宋体" w:eastAsia="宋体"/>
        </w:rPr>
      </w:pPr>
      <w:r>
        <w:rPr>
          <w:rFonts w:hint="eastAsia" w:ascii="宋体" w:eastAsia="宋体"/>
        </w:rPr>
        <w:t>（2）</w:t>
      </w:r>
      <w:r>
        <w:rPr>
          <w:rFonts w:ascii="宋体" w:eastAsia="宋体"/>
        </w:rPr>
        <w:t>数据采集传输仪外壳防护应符合GB4208</w:t>
      </w:r>
      <w:r>
        <w:rPr>
          <w:rFonts w:hint="eastAsia" w:ascii="宋体" w:eastAsia="宋体"/>
        </w:rPr>
        <w:t>的要求，安装在户外的设备达到IP55防护以上等级，外壳</w:t>
      </w:r>
      <w:r>
        <w:rPr>
          <w:rFonts w:ascii="宋体" w:eastAsia="宋体"/>
        </w:rPr>
        <w:t>应耐腐蚀、密封性能良好、表面无裂纹、变形、污浊、毛刺等现象，表面涂层均匀、无腐蚀、生锈、脱落及磨损现象。产品组装坚固、零部件无松动。按键、开关等控制灵活可靠。</w:t>
      </w:r>
    </w:p>
    <w:p>
      <w:pPr>
        <w:pStyle w:val="76"/>
        <w:spacing w:before="156" w:after="156"/>
        <w:ind w:firstLine="424" w:firstLineChars="202"/>
        <w:jc w:val="both"/>
        <w:rPr>
          <w:rFonts w:ascii="宋体" w:eastAsia="宋体"/>
        </w:rPr>
      </w:pPr>
      <w:r>
        <w:rPr>
          <w:rFonts w:hint="eastAsia" w:ascii="宋体" w:eastAsia="宋体"/>
        </w:rPr>
        <w:t>（3）</w:t>
      </w:r>
      <w:r>
        <w:rPr>
          <w:rFonts w:ascii="宋体" w:eastAsia="宋体"/>
        </w:rPr>
        <w:t>因现场环境复杂恶劣，</w:t>
      </w:r>
      <w:r>
        <w:rPr>
          <w:rFonts w:hint="eastAsia" w:ascii="宋体" w:eastAsia="宋体"/>
        </w:rPr>
        <w:t>为确保现场工况安全及设备通讯稳定可靠，并</w:t>
      </w:r>
      <w:r>
        <w:rPr>
          <w:rFonts w:ascii="宋体" w:eastAsia="宋体"/>
        </w:rPr>
        <w:t>满足</w:t>
      </w:r>
      <w:r>
        <w:rPr>
          <w:rFonts w:hint="eastAsia" w:ascii="宋体" w:eastAsia="宋体"/>
        </w:rPr>
        <w:t>防潮、防霉、防盐雾等</w:t>
      </w:r>
      <w:r>
        <w:rPr>
          <w:rFonts w:ascii="宋体" w:eastAsia="宋体"/>
        </w:rPr>
        <w:t>要求。</w:t>
      </w:r>
      <w:r>
        <w:rPr>
          <w:rFonts w:hint="eastAsia" w:ascii="宋体" w:eastAsia="宋体"/>
        </w:rPr>
        <w:t>现场端</w:t>
      </w:r>
      <w:r>
        <w:rPr>
          <w:rFonts w:ascii="宋体" w:eastAsia="宋体"/>
        </w:rPr>
        <w:t>设备须</w:t>
      </w:r>
      <w:r>
        <w:rPr>
          <w:rFonts w:hint="eastAsia" w:ascii="宋体" w:eastAsia="宋体"/>
        </w:rPr>
        <w:t>优先</w:t>
      </w:r>
      <w:r>
        <w:rPr>
          <w:rFonts w:ascii="宋体" w:eastAsia="宋体"/>
        </w:rPr>
        <w:t>采用无线自组网通信技术，现场传输距离不小于300m；须支持编码纠错及自动跳频技术，数据传输误码率应不大于10</w:t>
      </w:r>
      <w:r>
        <w:rPr>
          <w:rFonts w:ascii="宋体" w:eastAsia="宋体"/>
          <w:vertAlign w:val="superscript"/>
        </w:rPr>
        <w:t>-5</w:t>
      </w:r>
      <w:r>
        <w:rPr>
          <w:rFonts w:ascii="宋体" w:eastAsia="宋体"/>
        </w:rPr>
        <w:t>，保证通信稳定。</w:t>
      </w:r>
    </w:p>
    <w:p>
      <w:pPr>
        <w:pStyle w:val="76"/>
        <w:spacing w:before="156" w:after="156"/>
        <w:ind w:firstLine="424" w:firstLineChars="202"/>
        <w:jc w:val="both"/>
        <w:rPr>
          <w:rFonts w:ascii="宋体" w:eastAsia="宋体"/>
        </w:rPr>
      </w:pPr>
      <w:r>
        <w:rPr>
          <w:rFonts w:hint="eastAsia" w:ascii="宋体" w:eastAsia="宋体"/>
        </w:rPr>
        <w:t>（4）电流互感器的额定二次电流应与被监测生产、治污设备的参比电流相匹配，且满足最大电流不小于参比电流4倍的要求。电压互感器应符合G</w:t>
      </w:r>
      <w:r>
        <w:rPr>
          <w:rFonts w:ascii="宋体" w:eastAsia="宋体"/>
        </w:rPr>
        <w:t>B 1207,</w:t>
      </w:r>
      <w:r>
        <w:rPr>
          <w:rFonts w:hint="eastAsia" w:ascii="宋体" w:eastAsia="宋体"/>
        </w:rPr>
        <w:t>电流互感器应符合G</w:t>
      </w:r>
      <w:r>
        <w:rPr>
          <w:rFonts w:ascii="宋体" w:eastAsia="宋体"/>
        </w:rPr>
        <w:t>B 1208</w:t>
      </w:r>
      <w:r>
        <w:rPr>
          <w:rFonts w:hint="eastAsia" w:ascii="宋体" w:eastAsia="宋体"/>
        </w:rPr>
        <w:t>。</w:t>
      </w:r>
    </w:p>
    <w:p>
      <w:pPr>
        <w:pStyle w:val="76"/>
        <w:spacing w:before="156" w:after="156"/>
        <w:ind w:firstLine="424" w:firstLineChars="202"/>
        <w:jc w:val="both"/>
        <w:rPr>
          <w:rFonts w:ascii="宋体" w:eastAsia="宋体"/>
        </w:rPr>
      </w:pPr>
      <w:r>
        <w:rPr>
          <w:rFonts w:hint="eastAsia" w:ascii="宋体" w:eastAsia="宋体"/>
        </w:rPr>
        <w:t>（5）现场端</w:t>
      </w:r>
      <w:r>
        <w:rPr>
          <w:rFonts w:ascii="宋体" w:eastAsia="宋体"/>
        </w:rPr>
        <w:t>设备须满足国家法律法规和GB/T 2423</w:t>
      </w:r>
      <w:r>
        <w:rPr>
          <w:rFonts w:hint="eastAsia" w:ascii="宋体" w:eastAsia="宋体"/>
        </w:rPr>
        <w:t>、G</w:t>
      </w:r>
      <w:r>
        <w:rPr>
          <w:rFonts w:ascii="宋体" w:eastAsia="宋体"/>
        </w:rPr>
        <w:t>B/T 17215</w:t>
      </w:r>
      <w:r>
        <w:rPr>
          <w:rFonts w:hint="eastAsia" w:ascii="宋体" w:eastAsia="宋体"/>
        </w:rPr>
        <w:t>.211、G</w:t>
      </w:r>
      <w:r>
        <w:rPr>
          <w:rFonts w:ascii="宋体" w:eastAsia="宋体"/>
        </w:rPr>
        <w:t>B/T 17215</w:t>
      </w:r>
      <w:r>
        <w:rPr>
          <w:rFonts w:hint="eastAsia" w:ascii="宋体" w:eastAsia="宋体"/>
        </w:rPr>
        <w:t>.321和DL/T5137.6电能计量等</w:t>
      </w:r>
      <w:r>
        <w:rPr>
          <w:rFonts w:ascii="宋体" w:eastAsia="宋体"/>
        </w:rPr>
        <w:t>有关技术标准要求，取得</w:t>
      </w:r>
      <w:r>
        <w:rPr>
          <w:rFonts w:hint="eastAsia" w:ascii="宋体" w:eastAsia="宋体"/>
        </w:rPr>
        <w:t>国家电力行业权威检测机构或计量检定部门的</w:t>
      </w:r>
      <w:r>
        <w:rPr>
          <w:rFonts w:ascii="宋体" w:eastAsia="宋体"/>
        </w:rPr>
        <w:t>认证报告</w:t>
      </w:r>
      <w:r>
        <w:rPr>
          <w:rFonts w:hint="eastAsia" w:ascii="宋体" w:eastAsia="宋体"/>
        </w:rPr>
        <w:t>，其中电压、电流、功率等测量</w:t>
      </w:r>
      <w:r>
        <w:rPr>
          <w:rFonts w:ascii="宋体" w:eastAsia="宋体"/>
        </w:rPr>
        <w:t>数据</w:t>
      </w:r>
      <w:r>
        <w:rPr>
          <w:rFonts w:hint="eastAsia" w:ascii="宋体" w:eastAsia="宋体"/>
        </w:rPr>
        <w:t>基本误差在±2%以内</w:t>
      </w:r>
      <w:r>
        <w:rPr>
          <w:rFonts w:ascii="宋体" w:eastAsia="宋体"/>
        </w:rPr>
        <w:t>。</w:t>
      </w:r>
    </w:p>
    <w:p>
      <w:pPr>
        <w:pStyle w:val="72"/>
        <w:numPr>
          <w:ilvl w:val="1"/>
          <w:numId w:val="0"/>
        </w:numPr>
        <w:spacing w:before="156" w:after="156"/>
      </w:pPr>
      <w:bookmarkStart w:id="14" w:name="_Toc5172480"/>
      <w:r>
        <w:rPr>
          <w:rFonts w:hint="eastAsia"/>
        </w:rPr>
        <w:t>5.3现场端安装要求</w:t>
      </w:r>
      <w:bookmarkEnd w:id="14"/>
    </w:p>
    <w:p>
      <w:pPr>
        <w:pStyle w:val="76"/>
        <w:spacing w:before="156" w:after="156"/>
        <w:rPr>
          <w:rFonts w:ascii="宋体" w:eastAsia="宋体"/>
        </w:rPr>
      </w:pPr>
      <w:r>
        <w:rPr>
          <w:rFonts w:hint="eastAsia"/>
        </w:rPr>
        <w:t>5.3.1用电监管点位布设原则</w:t>
      </w:r>
    </w:p>
    <w:p>
      <w:pPr>
        <w:pStyle w:val="68"/>
        <w:ind w:firstLine="420" w:firstLineChars="200"/>
      </w:pPr>
      <w:r>
        <w:rPr>
          <w:rFonts w:hint="eastAsia"/>
        </w:rPr>
        <w:t>用电监管点位布设应遵循全面性、精简性、准确性的原则。</w:t>
      </w:r>
    </w:p>
    <w:p>
      <w:pPr>
        <w:pStyle w:val="68"/>
        <w:ind w:firstLine="420" w:firstLineChars="200"/>
      </w:pPr>
      <w:r>
        <w:rPr>
          <w:rFonts w:hint="eastAsia"/>
        </w:rPr>
        <w:t>（1）全面性：用电监管点位应全面覆盖排污许可证中列出的主要生产设施及治污设施。未申领排污许可证的污染源，可参考环境影响评价报告中相关内容进行布点。</w:t>
      </w:r>
    </w:p>
    <w:p>
      <w:pPr>
        <w:pStyle w:val="68"/>
        <w:ind w:firstLine="420" w:firstLineChars="200"/>
      </w:pPr>
      <w:r>
        <w:rPr>
          <w:rFonts w:hint="eastAsia"/>
        </w:rPr>
        <w:t>（2）精简性：在准确反映污染源</w:t>
      </w:r>
      <w:r>
        <w:t>停限产、错峰生产</w:t>
      </w:r>
      <w:r>
        <w:rPr>
          <w:rFonts w:hint="eastAsia"/>
        </w:rPr>
        <w:t>、治污实施运行情况的前提下，布设的点位数量力求精简。</w:t>
      </w:r>
    </w:p>
    <w:p>
      <w:pPr>
        <w:pStyle w:val="68"/>
        <w:ind w:firstLine="420" w:firstLineChars="200"/>
      </w:pPr>
      <w:r>
        <w:rPr>
          <w:rFonts w:hint="eastAsia"/>
        </w:rPr>
        <w:t>（3）准确性：监测点位数据应能准确反映被监测设备的用电情况。</w:t>
      </w:r>
    </w:p>
    <w:p>
      <w:pPr>
        <w:pStyle w:val="76"/>
        <w:spacing w:before="156" w:after="156"/>
      </w:pPr>
      <w:r>
        <w:rPr>
          <w:rFonts w:hint="eastAsia"/>
        </w:rPr>
        <w:t>5.3.2用电监管点位布设要求</w:t>
      </w:r>
    </w:p>
    <w:p>
      <w:pPr>
        <w:pStyle w:val="68"/>
        <w:ind w:firstLine="420" w:firstLineChars="200"/>
      </w:pPr>
      <w:r>
        <w:rPr>
          <w:rFonts w:hint="eastAsia"/>
        </w:rPr>
        <w:t>用电监管点位应包括总用电监测点位、</w:t>
      </w:r>
      <w:r>
        <w:t>生产</w:t>
      </w:r>
      <w:r>
        <w:rPr>
          <w:rFonts w:hint="eastAsia"/>
        </w:rPr>
        <w:t>设施用电监测点位、治污设施用电监测点位等类型。</w:t>
      </w:r>
    </w:p>
    <w:p>
      <w:pPr>
        <w:pStyle w:val="68"/>
        <w:ind w:firstLine="420" w:firstLineChars="200"/>
      </w:pPr>
      <w:r>
        <w:rPr>
          <w:rFonts w:hint="eastAsia"/>
        </w:rPr>
        <w:t>总用电监测点位</w:t>
      </w:r>
      <w:r>
        <w:t>：</w:t>
      </w:r>
      <w:r>
        <w:rPr>
          <w:rFonts w:hint="eastAsia"/>
        </w:rPr>
        <w:t>安装在排污单位总进线回路上，反映排污单位生产、治污总体情况。</w:t>
      </w:r>
    </w:p>
    <w:p>
      <w:pPr>
        <w:pStyle w:val="68"/>
        <w:ind w:firstLine="420" w:firstLineChars="200"/>
      </w:pPr>
      <w:r>
        <w:t>生产</w:t>
      </w:r>
      <w:r>
        <w:rPr>
          <w:rFonts w:hint="eastAsia"/>
          <w:szCs w:val="22"/>
        </w:rPr>
        <w:t>设施</w:t>
      </w:r>
      <w:r>
        <w:rPr>
          <w:rFonts w:hint="eastAsia"/>
        </w:rPr>
        <w:t>用电监测点位</w:t>
      </w:r>
      <w:r>
        <w:t>：</w:t>
      </w:r>
      <w:r>
        <w:rPr>
          <w:rFonts w:hint="eastAsia"/>
        </w:rPr>
        <w:t>安装在排污单位</w:t>
      </w:r>
      <w:r>
        <w:t>的生产线</w:t>
      </w:r>
      <w:r>
        <w:rPr>
          <w:rFonts w:hint="eastAsia"/>
        </w:rPr>
        <w:t>总回路</w:t>
      </w:r>
      <w:r>
        <w:t>及主要生产设备</w:t>
      </w:r>
      <w:r>
        <w:rPr>
          <w:rFonts w:hint="eastAsia"/>
        </w:rPr>
        <w:t>回路上，反映排污单位</w:t>
      </w:r>
      <w:r>
        <w:t>停限产、错峰生产</w:t>
      </w:r>
      <w:r>
        <w:rPr>
          <w:rFonts w:hint="eastAsia"/>
        </w:rPr>
        <w:t>执行情况。常见生产设施用电监管必选点位参考附录A。</w:t>
      </w:r>
    </w:p>
    <w:p>
      <w:pPr>
        <w:pStyle w:val="68"/>
        <w:ind w:firstLine="420" w:firstLineChars="200"/>
      </w:pPr>
      <w:r>
        <w:rPr>
          <w:rFonts w:hint="eastAsia"/>
        </w:rPr>
        <w:t>治污设施用电监测点位</w:t>
      </w:r>
      <w:r>
        <w:t>：</w:t>
      </w:r>
      <w:r>
        <w:rPr>
          <w:rFonts w:hint="eastAsia"/>
        </w:rPr>
        <w:t>安装在排污单位治污工艺总回路</w:t>
      </w:r>
      <w:r>
        <w:t>及主要</w:t>
      </w:r>
      <w:r>
        <w:rPr>
          <w:rFonts w:hint="eastAsia"/>
        </w:rPr>
        <w:t>治污</w:t>
      </w:r>
      <w:r>
        <w:t>设备</w:t>
      </w:r>
      <w:r>
        <w:rPr>
          <w:rFonts w:hint="eastAsia"/>
        </w:rPr>
        <w:t>回路上，反映污染治理</w:t>
      </w:r>
      <w:r>
        <w:t>设施</w:t>
      </w:r>
      <w:r>
        <w:rPr>
          <w:rFonts w:hint="eastAsia"/>
        </w:rPr>
        <w:t>运行情况。常见污染治理设施用电监管必选点位参考附录B。</w:t>
      </w:r>
    </w:p>
    <w:p>
      <w:pPr>
        <w:pStyle w:val="76"/>
        <w:spacing w:before="156" w:after="156"/>
      </w:pPr>
      <w:r>
        <w:rPr>
          <w:rFonts w:hint="eastAsia"/>
        </w:rPr>
        <w:t>5.3.3监测方案编制与信息备案</w:t>
      </w:r>
    </w:p>
    <w:p>
      <w:pPr>
        <w:pStyle w:val="68"/>
        <w:ind w:firstLine="420" w:firstLineChars="200"/>
        <w:rPr>
          <w:szCs w:val="22"/>
        </w:rPr>
      </w:pPr>
      <w:r>
        <w:rPr>
          <w:rFonts w:hint="eastAsia"/>
          <w:szCs w:val="22"/>
        </w:rPr>
        <w:t>P</w:t>
      </w:r>
      <w:r>
        <w:rPr>
          <w:szCs w:val="22"/>
        </w:rPr>
        <w:t>EMS安装之前</w:t>
      </w:r>
      <w:r>
        <w:rPr>
          <w:rFonts w:hint="eastAsia"/>
          <w:szCs w:val="22"/>
        </w:rPr>
        <w:t>，应先到排污单位现场调查，依据监测点位布设原则和布设要求，结合排污单位实际情况，开展基础信息采集和监测点位布设，编制用电监管方案。方案中应包含排污单位基本信息和需布设用电监管点位的生产设施与治污设施的基本信息，以及用电监测点位分布示意图。</w:t>
      </w:r>
    </w:p>
    <w:p>
      <w:pPr>
        <w:pStyle w:val="68"/>
        <w:ind w:firstLine="420" w:firstLineChars="200"/>
        <w:rPr>
          <w:szCs w:val="22"/>
        </w:rPr>
      </w:pPr>
      <w:r>
        <w:rPr>
          <w:rFonts w:hint="eastAsia"/>
          <w:szCs w:val="22"/>
        </w:rPr>
        <w:t>排污单位基础信息包含单位名称、社会统一信用代码、地址、法人代表、行业类型、联系人、联系电话、</w:t>
      </w:r>
      <w:r>
        <w:rPr>
          <w:szCs w:val="22"/>
        </w:rPr>
        <w:t>注册资金、</w:t>
      </w:r>
      <w:r>
        <w:rPr>
          <w:rFonts w:hint="eastAsia"/>
          <w:szCs w:val="22"/>
        </w:rPr>
        <w:t>年产值、年产量、年废气排放量、年耗电量、</w:t>
      </w:r>
      <w:r>
        <w:rPr>
          <w:szCs w:val="22"/>
        </w:rPr>
        <w:t>经营范围</w:t>
      </w:r>
      <w:r>
        <w:rPr>
          <w:rFonts w:hint="eastAsia"/>
          <w:szCs w:val="22"/>
        </w:rPr>
        <w:t>、</w:t>
      </w:r>
      <w:r>
        <w:rPr>
          <w:szCs w:val="22"/>
        </w:rPr>
        <w:t>排口数量、生产工艺、治理工艺</w:t>
      </w:r>
      <w:r>
        <w:rPr>
          <w:rFonts w:hint="eastAsia"/>
          <w:szCs w:val="22"/>
        </w:rPr>
        <w:t>、主要产品、主要设备、数采仪MN编号、总用电监测点位信息等。具体内容参加附录C表1。</w:t>
      </w:r>
    </w:p>
    <w:p>
      <w:pPr>
        <w:pStyle w:val="68"/>
        <w:ind w:firstLine="420" w:firstLineChars="200"/>
        <w:rPr>
          <w:szCs w:val="22"/>
        </w:rPr>
      </w:pPr>
      <w:r>
        <w:rPr>
          <w:rFonts w:hint="eastAsia"/>
          <w:szCs w:val="22"/>
        </w:rPr>
        <w:t>主要生产与治污设施基本信息包含生产单元名称、生产单元序号、设备名称、设备序号、设备功率、备用关系、污染物种类、排放形式、备注信息等。具体内容参加附录C表2、表3。</w:t>
      </w:r>
    </w:p>
    <w:p>
      <w:pPr>
        <w:pStyle w:val="68"/>
        <w:ind w:firstLine="420" w:firstLineChars="200"/>
        <w:rPr>
          <w:szCs w:val="22"/>
        </w:rPr>
      </w:pPr>
      <w:r>
        <w:rPr>
          <w:rFonts w:hint="eastAsia"/>
          <w:szCs w:val="22"/>
        </w:rPr>
        <w:t>监测方案确认后，应在河南省</w:t>
      </w:r>
      <w:r>
        <w:rPr>
          <w:szCs w:val="22"/>
        </w:rPr>
        <w:t>生态</w:t>
      </w:r>
      <w:r>
        <w:rPr>
          <w:rFonts w:hint="eastAsia"/>
          <w:szCs w:val="22"/>
        </w:rPr>
        <w:t>环境</w:t>
      </w:r>
      <w:r>
        <w:rPr>
          <w:szCs w:val="22"/>
        </w:rPr>
        <w:t>厅</w:t>
      </w:r>
      <w:r>
        <w:rPr>
          <w:rFonts w:hint="eastAsia"/>
          <w:szCs w:val="22"/>
        </w:rPr>
        <w:t>涉气排污单位污染治理设施用电监控平台进行信息备案。信息备案成功后，备案系统将自动生成统一规范的用电监管点位编码，通过远程在线下载供现场安装调试使用。</w:t>
      </w:r>
    </w:p>
    <w:p>
      <w:pPr>
        <w:pStyle w:val="76"/>
        <w:spacing w:before="156" w:after="156"/>
      </w:pPr>
      <w:r>
        <w:rPr>
          <w:rFonts w:hint="eastAsia"/>
        </w:rPr>
        <w:t xml:space="preserve">5.3.4安装施工要求 </w:t>
      </w:r>
    </w:p>
    <w:p>
      <w:pPr>
        <w:pStyle w:val="68"/>
        <w:ind w:firstLine="420" w:firstLineChars="200"/>
        <w:rPr>
          <w:szCs w:val="22"/>
        </w:rPr>
      </w:pPr>
      <w:r>
        <w:rPr>
          <w:szCs w:val="22"/>
        </w:rPr>
        <w:t>在安装</w:t>
      </w:r>
      <w:r>
        <w:rPr>
          <w:rFonts w:hint="eastAsia"/>
          <w:szCs w:val="22"/>
        </w:rPr>
        <w:t>施工</w:t>
      </w:r>
      <w:r>
        <w:rPr>
          <w:szCs w:val="22"/>
        </w:rPr>
        <w:t>过程中，应按照已备案后</w:t>
      </w:r>
      <w:r>
        <w:rPr>
          <w:rFonts w:hint="eastAsia"/>
          <w:szCs w:val="22"/>
        </w:rPr>
        <w:t>自行下载</w:t>
      </w:r>
      <w:r>
        <w:rPr>
          <w:szCs w:val="22"/>
        </w:rPr>
        <w:t>的《</w:t>
      </w:r>
      <w:r>
        <w:rPr>
          <w:rFonts w:hint="eastAsia"/>
        </w:rPr>
        <w:t>排污单位用电监管信息备案表</w:t>
      </w:r>
      <w:r>
        <w:rPr>
          <w:szCs w:val="22"/>
        </w:rPr>
        <w:t>》</w:t>
      </w:r>
      <w:r>
        <w:rPr>
          <w:rFonts w:hint="eastAsia"/>
          <w:szCs w:val="22"/>
        </w:rPr>
        <w:t>（表1、表2、表3）</w:t>
      </w:r>
      <w:r>
        <w:rPr>
          <w:szCs w:val="22"/>
        </w:rPr>
        <w:t>进行安装调试，安装调试应避免对安全生产和环境造成影响，安装调试人员必须有相关的操作资质</w:t>
      </w:r>
      <w:r>
        <w:rPr>
          <w:rFonts w:hint="eastAsia"/>
          <w:szCs w:val="22"/>
        </w:rPr>
        <w:t>，</w:t>
      </w:r>
      <w:r>
        <w:rPr>
          <w:szCs w:val="22"/>
        </w:rPr>
        <w:t>电工应持进网作业许可证</w:t>
      </w:r>
      <w:r>
        <w:rPr>
          <w:rFonts w:hint="eastAsia"/>
          <w:szCs w:val="22"/>
        </w:rPr>
        <w:t>，安全工程师和安全监督员应具有电力专业工程师以上专业技术任职资格</w:t>
      </w:r>
      <w:r>
        <w:rPr>
          <w:szCs w:val="22"/>
        </w:rPr>
        <w:t>，满足电力施工相关要求，保障安装工艺，对原有的用电线路不造成影响。</w:t>
      </w:r>
    </w:p>
    <w:p>
      <w:pPr>
        <w:pStyle w:val="68"/>
        <w:ind w:firstLine="420" w:firstLineChars="200"/>
        <w:rPr>
          <w:szCs w:val="22"/>
        </w:rPr>
      </w:pPr>
      <w:r>
        <w:rPr>
          <w:rFonts w:hint="eastAsia"/>
          <w:szCs w:val="22"/>
        </w:rPr>
        <w:t>安装位置：采集设备可安装在用户既有</w:t>
      </w:r>
      <w:r>
        <w:rPr>
          <w:szCs w:val="22"/>
        </w:rPr>
        <w:t>设备供电开关集成机柜（如防爆柜）</w:t>
      </w:r>
      <w:r>
        <w:rPr>
          <w:rFonts w:hint="eastAsia"/>
          <w:szCs w:val="22"/>
        </w:rPr>
        <w:t>内的，</w:t>
      </w:r>
      <w:r>
        <w:rPr>
          <w:szCs w:val="22"/>
        </w:rPr>
        <w:t>采集设备应准确安装在对应开关位置，无强电源引出，满足</w:t>
      </w:r>
      <w:r>
        <w:rPr>
          <w:rFonts w:hint="eastAsia"/>
          <w:szCs w:val="22"/>
        </w:rPr>
        <w:t>机</w:t>
      </w:r>
      <w:r>
        <w:rPr>
          <w:szCs w:val="22"/>
        </w:rPr>
        <w:t>柜密闭要求。采集设备无法安装在用户既有柜体内的，现场</w:t>
      </w:r>
      <w:r>
        <w:rPr>
          <w:rFonts w:hint="eastAsia"/>
          <w:szCs w:val="22"/>
        </w:rPr>
        <w:t>应</w:t>
      </w:r>
      <w:r>
        <w:rPr>
          <w:szCs w:val="22"/>
        </w:rPr>
        <w:t>增加</w:t>
      </w:r>
      <w:r>
        <w:rPr>
          <w:rFonts w:hint="eastAsia"/>
          <w:szCs w:val="22"/>
        </w:rPr>
        <w:t>不低于</w:t>
      </w:r>
      <w:r>
        <w:rPr>
          <w:szCs w:val="22"/>
        </w:rPr>
        <w:t>用户现场防护等级的箱体，引出部分应通过PG防水接头由金属软管保护。</w:t>
      </w:r>
    </w:p>
    <w:p>
      <w:pPr>
        <w:pStyle w:val="68"/>
        <w:ind w:firstLine="420" w:firstLineChars="200"/>
        <w:rPr>
          <w:szCs w:val="22"/>
        </w:rPr>
      </w:pPr>
      <w:r>
        <w:rPr>
          <w:rFonts w:hint="eastAsia"/>
          <w:szCs w:val="22"/>
        </w:rPr>
        <w:t>用电监管</w:t>
      </w:r>
      <w:r>
        <w:rPr>
          <w:szCs w:val="22"/>
        </w:rPr>
        <w:t>设备安装在室内的，工频运行</w:t>
      </w:r>
      <w:r>
        <w:rPr>
          <w:rFonts w:hint="eastAsia"/>
          <w:szCs w:val="22"/>
        </w:rPr>
        <w:t>的应</w:t>
      </w:r>
      <w:r>
        <w:rPr>
          <w:szCs w:val="22"/>
        </w:rPr>
        <w:t>直接安装</w:t>
      </w:r>
      <w:r>
        <w:rPr>
          <w:rFonts w:hint="eastAsia"/>
          <w:szCs w:val="22"/>
        </w:rPr>
        <w:t>在</w:t>
      </w:r>
      <w:r>
        <w:rPr>
          <w:szCs w:val="22"/>
        </w:rPr>
        <w:t>开关出线位置，变频运行的</w:t>
      </w:r>
      <w:r>
        <w:rPr>
          <w:rFonts w:hint="eastAsia"/>
          <w:szCs w:val="22"/>
        </w:rPr>
        <w:t>应</w:t>
      </w:r>
      <w:r>
        <w:rPr>
          <w:szCs w:val="22"/>
        </w:rPr>
        <w:t>安装在变频器进线侧。</w:t>
      </w:r>
    </w:p>
    <w:p>
      <w:pPr>
        <w:pStyle w:val="68"/>
        <w:ind w:firstLine="420" w:firstLineChars="200"/>
        <w:rPr>
          <w:szCs w:val="22"/>
        </w:rPr>
      </w:pPr>
      <w:r>
        <w:rPr>
          <w:szCs w:val="22"/>
        </w:rPr>
        <w:t>现场应能为数据采集传输仪提供可靠的不间断电力负荷，安装在户外的应配备完善规范的接地装置和避雷措施或在避雷保护范围内，安装位置不能位于通讯盲区，确保上下行数据传输稳定，同时应具备防盗和防止人为破坏的设施。</w:t>
      </w:r>
    </w:p>
    <w:p>
      <w:pPr>
        <w:pStyle w:val="68"/>
        <w:ind w:firstLine="420" w:firstLineChars="200"/>
        <w:rPr>
          <w:szCs w:val="22"/>
        </w:rPr>
      </w:pPr>
      <w:r>
        <w:rPr>
          <w:szCs w:val="22"/>
        </w:rPr>
        <w:t>现场</w:t>
      </w:r>
      <w:r>
        <w:rPr>
          <w:rFonts w:hint="eastAsia"/>
          <w:szCs w:val="22"/>
        </w:rPr>
        <w:t>端</w:t>
      </w:r>
      <w:r>
        <w:rPr>
          <w:szCs w:val="22"/>
        </w:rPr>
        <w:t>设备适应环境的能力应符合GB/T 17214.1的要求，抗振动性能应符合GB/T6587.4的要求，抗电磁干扰能力应符合GB/T 17626的有关要求。</w:t>
      </w:r>
    </w:p>
    <w:p>
      <w:pPr>
        <w:pStyle w:val="68"/>
        <w:ind w:firstLine="420" w:firstLineChars="200"/>
        <w:rPr>
          <w:szCs w:val="22"/>
        </w:rPr>
      </w:pPr>
      <w:r>
        <w:rPr>
          <w:rFonts w:hint="eastAsia"/>
          <w:szCs w:val="22"/>
        </w:rPr>
        <w:t>监测设备所在站房应具备防雷系统，并符合GB50057的要求。电源线和信号线均应设置防雷装置。</w:t>
      </w:r>
    </w:p>
    <w:p>
      <w:pPr>
        <w:pStyle w:val="68"/>
        <w:ind w:firstLine="420" w:firstLineChars="200"/>
        <w:rPr>
          <w:szCs w:val="22"/>
        </w:rPr>
      </w:pPr>
      <w:r>
        <w:rPr>
          <w:rFonts w:hint="eastAsia"/>
          <w:szCs w:val="22"/>
        </w:rPr>
        <w:t>PEMS安装施工应符合GB50093、GB50168、GB50171等标准规范的要求。</w:t>
      </w:r>
    </w:p>
    <w:p>
      <w:pPr>
        <w:pStyle w:val="76"/>
        <w:spacing w:before="156" w:after="156"/>
      </w:pPr>
      <w:r>
        <w:rPr>
          <w:rFonts w:hint="eastAsia"/>
        </w:rPr>
        <w:t>5.3.5安全要求</w:t>
      </w:r>
    </w:p>
    <w:p>
      <w:pPr>
        <w:pStyle w:val="68"/>
        <w:ind w:firstLine="420" w:firstLineChars="200"/>
        <w:rPr>
          <w:szCs w:val="22"/>
        </w:rPr>
      </w:pPr>
      <w:r>
        <w:rPr>
          <w:szCs w:val="22"/>
        </w:rPr>
        <w:t>坚持“安全第一，预防为主”的方针，认真贯彻执行有关安全施工的各项法规、标准、规程和文件精神的要求，从技术上、组织上、管理上采取有力措施，加强安全监督，解决和清除各种不安全因素，防止事故发生。</w:t>
      </w:r>
    </w:p>
    <w:p>
      <w:pPr>
        <w:pStyle w:val="68"/>
        <w:ind w:firstLine="420" w:firstLineChars="200"/>
        <w:rPr>
          <w:szCs w:val="22"/>
        </w:rPr>
      </w:pPr>
      <w:r>
        <w:rPr>
          <w:szCs w:val="22"/>
        </w:rPr>
        <w:t>现场</w:t>
      </w:r>
      <w:r>
        <w:rPr>
          <w:rFonts w:hint="eastAsia"/>
          <w:szCs w:val="22"/>
        </w:rPr>
        <w:t>施工</w:t>
      </w:r>
      <w:r>
        <w:rPr>
          <w:szCs w:val="22"/>
        </w:rPr>
        <w:t>单位应规范操作，文明施工，加强</w:t>
      </w:r>
      <w:r>
        <w:rPr>
          <w:rFonts w:hint="eastAsia"/>
          <w:szCs w:val="22"/>
        </w:rPr>
        <w:t>安全</w:t>
      </w:r>
      <w:r>
        <w:rPr>
          <w:szCs w:val="22"/>
        </w:rPr>
        <w:t>管理，服从</w:t>
      </w:r>
      <w:r>
        <w:rPr>
          <w:rFonts w:hint="eastAsia"/>
          <w:szCs w:val="22"/>
        </w:rPr>
        <w:t>污染源单位</w:t>
      </w:r>
      <w:r>
        <w:rPr>
          <w:szCs w:val="22"/>
        </w:rPr>
        <w:t>内部安全规定，杜绝不良行为，预防安全意外事故的发生，提高施工队伍的综合素质，确保现场施工顺利进行。</w:t>
      </w:r>
    </w:p>
    <w:p>
      <w:pPr>
        <w:pStyle w:val="68"/>
        <w:ind w:firstLine="420" w:firstLineChars="200"/>
        <w:rPr>
          <w:szCs w:val="22"/>
        </w:rPr>
      </w:pPr>
      <w:r>
        <w:rPr>
          <w:szCs w:val="22"/>
        </w:rPr>
        <w:t>落实安全生产责任制，建立安全</w:t>
      </w:r>
      <w:r>
        <w:rPr>
          <w:rFonts w:hint="eastAsia"/>
          <w:szCs w:val="22"/>
        </w:rPr>
        <w:t>保障</w:t>
      </w:r>
      <w:r>
        <w:rPr>
          <w:szCs w:val="22"/>
        </w:rPr>
        <w:t>体系，明确现场施工中的各级领导、职能部门、工程技术人员和施工工人在管理和施工</w:t>
      </w:r>
      <w:r>
        <w:rPr>
          <w:rFonts w:hint="eastAsia"/>
          <w:szCs w:val="22"/>
        </w:rPr>
        <w:t>过程</w:t>
      </w:r>
      <w:r>
        <w:rPr>
          <w:szCs w:val="22"/>
        </w:rPr>
        <w:t>中</w:t>
      </w:r>
      <w:r>
        <w:rPr>
          <w:rFonts w:hint="eastAsia"/>
          <w:szCs w:val="22"/>
        </w:rPr>
        <w:t>的</w:t>
      </w:r>
      <w:r>
        <w:rPr>
          <w:szCs w:val="22"/>
        </w:rPr>
        <w:t>安全责任。现场负责人应具有</w:t>
      </w:r>
      <w:r>
        <w:rPr>
          <w:rFonts w:hint="eastAsia"/>
          <w:szCs w:val="22"/>
        </w:rPr>
        <w:t>3年以上从事电力设施安装管理的工作经历。</w:t>
      </w:r>
    </w:p>
    <w:p>
      <w:pPr>
        <w:pStyle w:val="68"/>
        <w:ind w:firstLine="420" w:firstLineChars="200"/>
        <w:rPr>
          <w:szCs w:val="22"/>
        </w:rPr>
      </w:pPr>
      <w:r>
        <w:rPr>
          <w:szCs w:val="22"/>
        </w:rPr>
        <w:t>现场施工单位应按排污单位现场实际情况</w:t>
      </w:r>
      <w:r>
        <w:rPr>
          <w:rFonts w:hint="eastAsia"/>
          <w:szCs w:val="22"/>
        </w:rPr>
        <w:t>，</w:t>
      </w:r>
      <w:r>
        <w:rPr>
          <w:szCs w:val="22"/>
        </w:rPr>
        <w:t>配足配齐专职安全</w:t>
      </w:r>
      <w:r>
        <w:rPr>
          <w:rFonts w:hint="eastAsia"/>
          <w:szCs w:val="22"/>
        </w:rPr>
        <w:t>管理</w:t>
      </w:r>
      <w:r>
        <w:rPr>
          <w:szCs w:val="22"/>
        </w:rPr>
        <w:t>人员，配备</w:t>
      </w:r>
      <w:r>
        <w:rPr>
          <w:rFonts w:hint="eastAsia"/>
          <w:szCs w:val="22"/>
        </w:rPr>
        <w:t>1名以上</w:t>
      </w:r>
      <w:r>
        <w:rPr>
          <w:szCs w:val="22"/>
        </w:rPr>
        <w:t>安全</w:t>
      </w:r>
      <w:r>
        <w:rPr>
          <w:rFonts w:hint="eastAsia"/>
          <w:szCs w:val="22"/>
        </w:rPr>
        <w:t>工程师</w:t>
      </w:r>
      <w:r>
        <w:rPr>
          <w:szCs w:val="22"/>
        </w:rPr>
        <w:t>，具备</w:t>
      </w:r>
      <w:r>
        <w:rPr>
          <w:rFonts w:hint="eastAsia"/>
          <w:szCs w:val="22"/>
        </w:rPr>
        <w:t>专业</w:t>
      </w:r>
      <w:r>
        <w:rPr>
          <w:szCs w:val="22"/>
        </w:rPr>
        <w:t>知识、身体健康。</w:t>
      </w:r>
    </w:p>
    <w:p>
      <w:pPr>
        <w:pStyle w:val="68"/>
        <w:ind w:firstLine="420" w:firstLineChars="200"/>
        <w:rPr>
          <w:szCs w:val="22"/>
        </w:rPr>
      </w:pPr>
      <w:r>
        <w:rPr>
          <w:szCs w:val="22"/>
        </w:rPr>
        <w:t>进入施工现场的所有人员必须戴安全帽，着装应符合有关规定。加强劳动保护用品的发放、管理和监督使用，对于特殊防护用品和公用防护用品、安全带、安全网等，必须设专人负责管理。现场必须竖立、标示安全操作规程、安全警示牌。</w:t>
      </w:r>
    </w:p>
    <w:p>
      <w:pPr>
        <w:pStyle w:val="68"/>
        <w:ind w:firstLine="420" w:firstLineChars="200"/>
        <w:rPr>
          <w:szCs w:val="22"/>
        </w:rPr>
      </w:pPr>
      <w:r>
        <w:rPr>
          <w:szCs w:val="22"/>
        </w:rPr>
        <w:t>现场</w:t>
      </w:r>
      <w:r>
        <w:rPr>
          <w:rFonts w:hint="eastAsia"/>
          <w:szCs w:val="22"/>
        </w:rPr>
        <w:t>施工</w:t>
      </w:r>
      <w:r>
        <w:rPr>
          <w:szCs w:val="22"/>
        </w:rPr>
        <w:t>单位严格按照需方的技术指南和安全施工要求开展工作，制定应急方案，现场一旦出现问题或异常情况，第一时间上报并及时妥善处置。</w:t>
      </w:r>
    </w:p>
    <w:p>
      <w:pPr>
        <w:pStyle w:val="72"/>
        <w:numPr>
          <w:ilvl w:val="1"/>
          <w:numId w:val="0"/>
        </w:numPr>
        <w:spacing w:before="156" w:after="156"/>
      </w:pPr>
      <w:r>
        <w:rPr>
          <w:rFonts w:hint="eastAsia"/>
        </w:rPr>
        <w:t>5.4企业端应用软件要求</w:t>
      </w:r>
    </w:p>
    <w:p>
      <w:pPr>
        <w:pStyle w:val="68"/>
        <w:ind w:firstLine="420" w:firstLineChars="200"/>
      </w:pPr>
      <w:r>
        <w:rPr>
          <w:rFonts w:hint="eastAsia"/>
          <w:szCs w:val="22"/>
        </w:rPr>
        <w:t>企业端应用软件</w:t>
      </w:r>
      <w:r>
        <w:rPr>
          <w:szCs w:val="22"/>
        </w:rPr>
        <w:t>的主要功能</w:t>
      </w:r>
      <w:r>
        <w:rPr>
          <w:rFonts w:hint="eastAsia"/>
          <w:szCs w:val="22"/>
        </w:rPr>
        <w:t>应</w:t>
      </w:r>
      <w:r>
        <w:rPr>
          <w:szCs w:val="22"/>
        </w:rPr>
        <w:t>包括</w:t>
      </w:r>
      <w:r>
        <w:rPr>
          <w:rFonts w:hint="eastAsia"/>
          <w:szCs w:val="22"/>
        </w:rPr>
        <w:t>：</w:t>
      </w:r>
      <w:r>
        <w:rPr>
          <w:szCs w:val="22"/>
        </w:rPr>
        <w:t>辅助</w:t>
      </w:r>
      <w:r>
        <w:t>安装调试、设备</w:t>
      </w:r>
      <w:r>
        <w:rPr>
          <w:rFonts w:hint="eastAsia"/>
        </w:rPr>
        <w:t>监控、</w:t>
      </w:r>
      <w:r>
        <w:t>信息备案</w:t>
      </w:r>
      <w:r>
        <w:rPr>
          <w:rFonts w:hint="eastAsia"/>
        </w:rPr>
        <w:t>与下载、</w:t>
      </w:r>
      <w:r>
        <w:t>数据存储</w:t>
      </w:r>
      <w:r>
        <w:rPr>
          <w:rFonts w:hint="eastAsia"/>
        </w:rPr>
        <w:t>、</w:t>
      </w:r>
      <w:r>
        <w:t>事件报警</w:t>
      </w:r>
      <w:r>
        <w:rPr>
          <w:rFonts w:hint="eastAsia"/>
        </w:rPr>
        <w:t>，以及</w:t>
      </w:r>
      <w:r>
        <w:rPr>
          <w:szCs w:val="22"/>
        </w:rPr>
        <w:t>查询现场用电监测数据，</w:t>
      </w:r>
      <w:r>
        <w:rPr>
          <w:rFonts w:hint="eastAsia"/>
          <w:szCs w:val="22"/>
        </w:rPr>
        <w:t>实时</w:t>
      </w:r>
      <w:r>
        <w:rPr>
          <w:szCs w:val="22"/>
        </w:rPr>
        <w:t>判断排污单位生产和治理设施实时运行情况等。</w:t>
      </w:r>
    </w:p>
    <w:p>
      <w:pPr>
        <w:pStyle w:val="76"/>
        <w:spacing w:before="156" w:after="156"/>
      </w:pPr>
      <w:r>
        <w:rPr>
          <w:rFonts w:hint="eastAsia"/>
        </w:rPr>
        <w:t>5.4.1安装调试</w:t>
      </w:r>
    </w:p>
    <w:p>
      <w:pPr>
        <w:pStyle w:val="68"/>
        <w:ind w:firstLine="420" w:firstLineChars="200"/>
      </w:pPr>
      <w:r>
        <w:t>对监测点位安装的</w:t>
      </w:r>
      <w:r>
        <w:rPr>
          <w:rFonts w:hint="eastAsia"/>
        </w:rPr>
        <w:t>用电</w:t>
      </w:r>
      <w:r>
        <w:t>参数监测仪器进行配置</w:t>
      </w:r>
      <w:r>
        <w:rPr>
          <w:rFonts w:hint="eastAsia"/>
        </w:rPr>
        <w:t>调试，实现</w:t>
      </w:r>
      <w:r>
        <w:t>通讯连接、数据传输等</w:t>
      </w:r>
      <w:r>
        <w:rPr>
          <w:rFonts w:hint="eastAsia"/>
        </w:rPr>
        <w:t>功能</w:t>
      </w:r>
      <w:r>
        <w:t>。可</w:t>
      </w:r>
      <w:r>
        <w:rPr>
          <w:rFonts w:hint="eastAsia"/>
        </w:rPr>
        <w:t>对</w:t>
      </w:r>
      <w:r>
        <w:t>配置参数、限值参数、通信参数等</w:t>
      </w:r>
      <w:r>
        <w:rPr>
          <w:rFonts w:hint="eastAsia"/>
        </w:rPr>
        <w:t>等进行设置。</w:t>
      </w:r>
    </w:p>
    <w:p>
      <w:pPr>
        <w:pStyle w:val="76"/>
        <w:spacing w:before="156" w:after="156"/>
      </w:pPr>
      <w:r>
        <w:rPr>
          <w:rFonts w:hint="eastAsia"/>
        </w:rPr>
        <w:t>5.4.2设备监控</w:t>
      </w:r>
    </w:p>
    <w:p>
      <w:pPr>
        <w:pStyle w:val="68"/>
        <w:ind w:firstLine="420" w:firstLineChars="200"/>
        <w:rPr>
          <w:szCs w:val="22"/>
        </w:rPr>
      </w:pPr>
      <w:r>
        <w:t>提供监测点位变更、设备故障修复等功能。</w:t>
      </w:r>
    </w:p>
    <w:p>
      <w:pPr>
        <w:pStyle w:val="76"/>
        <w:spacing w:before="156" w:after="156"/>
      </w:pPr>
      <w:r>
        <w:rPr>
          <w:rFonts w:hint="eastAsia"/>
        </w:rPr>
        <w:t>5.4.3信息备案与下载</w:t>
      </w:r>
    </w:p>
    <w:p>
      <w:pPr>
        <w:pStyle w:val="68"/>
        <w:ind w:firstLine="420" w:firstLineChars="200"/>
      </w:pPr>
      <w:r>
        <w:rPr>
          <w:rFonts w:hint="eastAsia"/>
        </w:rPr>
        <w:t>对</w:t>
      </w:r>
      <w:r>
        <w:rPr>
          <w:szCs w:val="22"/>
        </w:rPr>
        <w:t>污染源基本信息、联系人信息</w:t>
      </w:r>
      <w:r>
        <w:rPr>
          <w:rFonts w:hint="eastAsia"/>
          <w:szCs w:val="22"/>
        </w:rPr>
        <w:t>、</w:t>
      </w:r>
      <w:r>
        <w:rPr>
          <w:szCs w:val="22"/>
        </w:rPr>
        <w:t>污染源</w:t>
      </w:r>
      <w:r>
        <w:rPr>
          <w:rFonts w:hint="eastAsia"/>
          <w:szCs w:val="22"/>
        </w:rPr>
        <w:t>地理</w:t>
      </w:r>
      <w:r>
        <w:rPr>
          <w:szCs w:val="22"/>
        </w:rPr>
        <w:t>位置</w:t>
      </w:r>
      <w:r>
        <w:rPr>
          <w:rFonts w:hint="eastAsia"/>
        </w:rPr>
        <w:t>、</w:t>
      </w:r>
      <w:r>
        <w:t>生产</w:t>
      </w:r>
      <w:r>
        <w:rPr>
          <w:rFonts w:hint="eastAsia"/>
        </w:rPr>
        <w:t>与</w:t>
      </w:r>
      <w:r>
        <w:t>治污工艺</w:t>
      </w:r>
      <w:r>
        <w:rPr>
          <w:rFonts w:hint="eastAsia"/>
        </w:rPr>
        <w:t>、</w:t>
      </w:r>
      <w:r>
        <w:t>生产设施</w:t>
      </w:r>
      <w:r>
        <w:rPr>
          <w:rFonts w:hint="eastAsia"/>
        </w:rPr>
        <w:t>与</w:t>
      </w:r>
      <w:r>
        <w:t>污染治理设施监测点位</w:t>
      </w:r>
      <w:r>
        <w:rPr>
          <w:rFonts w:hint="eastAsia"/>
        </w:rPr>
        <w:t>，</w:t>
      </w:r>
      <w:r>
        <w:rPr>
          <w:szCs w:val="22"/>
        </w:rPr>
        <w:t>产污治污设施生产工艺上的启停联动关系</w:t>
      </w:r>
      <w:r>
        <w:rPr>
          <w:rFonts w:hint="eastAsia"/>
          <w:szCs w:val="22"/>
        </w:rPr>
        <w:t>、</w:t>
      </w:r>
      <w:r>
        <w:rPr>
          <w:szCs w:val="22"/>
        </w:rPr>
        <w:t>越限阈值等</w:t>
      </w:r>
      <w:r>
        <w:rPr>
          <w:rFonts w:hint="eastAsia"/>
          <w:szCs w:val="22"/>
        </w:rPr>
        <w:t>信息进行填报备案。并可从河南省生态环境厅污染治理设施用电监管平台下载情况通报、任务督办、点位编码等资料。</w:t>
      </w:r>
    </w:p>
    <w:p>
      <w:pPr>
        <w:pStyle w:val="76"/>
        <w:spacing w:before="156" w:after="156"/>
      </w:pPr>
      <w:r>
        <w:rPr>
          <w:rFonts w:hint="eastAsia"/>
        </w:rPr>
        <w:t>5.4.4数据存储</w:t>
      </w:r>
    </w:p>
    <w:p>
      <w:pPr>
        <w:pStyle w:val="68"/>
        <w:ind w:firstLine="420" w:firstLineChars="200"/>
      </w:pPr>
      <w:r>
        <w:rPr>
          <w:rFonts w:hint="eastAsia"/>
        </w:rPr>
        <w:t>软件系统应能存储1年以上实时监测数据，并具备离线备份功能，每月进行离线备份。</w:t>
      </w:r>
    </w:p>
    <w:p>
      <w:pPr>
        <w:pStyle w:val="76"/>
        <w:spacing w:before="156" w:after="156"/>
      </w:pPr>
      <w:r>
        <w:rPr>
          <w:rFonts w:hint="eastAsia"/>
        </w:rPr>
        <w:t>5.4.5事件报警</w:t>
      </w:r>
    </w:p>
    <w:p>
      <w:pPr>
        <w:pStyle w:val="68"/>
        <w:ind w:firstLine="420" w:firstLineChars="200"/>
      </w:pPr>
      <w:r>
        <w:rPr>
          <w:rFonts w:hint="eastAsia"/>
        </w:rPr>
        <w:t>可配置报警的</w:t>
      </w:r>
      <w:r>
        <w:t>事件包括：停/上电、电压回路异常、清零指定数据、电流回路异常、电压越限、电流越限、电压不平衡度越限、电流不平衡度越限、谐波电压畸变率越限、参数变更、校时、状态量变位、谐波电流有效值越限、非电气量越限等。</w:t>
      </w:r>
    </w:p>
    <w:p>
      <w:pPr>
        <w:pStyle w:val="76"/>
        <w:spacing w:before="156" w:after="156"/>
      </w:pPr>
      <w:r>
        <w:rPr>
          <w:rFonts w:hint="eastAsia"/>
        </w:rPr>
        <w:t>5.4.6数据查询</w:t>
      </w:r>
    </w:p>
    <w:p>
      <w:pPr>
        <w:pStyle w:val="68"/>
        <w:ind w:firstLine="420" w:firstLineChars="200"/>
      </w:pPr>
      <w:r>
        <w:t>可查询实时数据、事件告警信息</w:t>
      </w:r>
      <w:r>
        <w:rPr>
          <w:rFonts w:hint="eastAsia"/>
        </w:rPr>
        <w:t>。</w:t>
      </w:r>
    </w:p>
    <w:p>
      <w:pPr>
        <w:pStyle w:val="76"/>
        <w:spacing w:before="156" w:after="156"/>
      </w:pPr>
      <w:r>
        <w:rPr>
          <w:rFonts w:hint="eastAsia"/>
        </w:rPr>
        <w:t>5.4.7数据判断</w:t>
      </w:r>
    </w:p>
    <w:p>
      <w:pPr>
        <w:pStyle w:val="68"/>
        <w:ind w:firstLine="420" w:firstLineChars="200"/>
      </w:pPr>
      <w:r>
        <w:t>利用监测生产设施和治理设施的</w:t>
      </w:r>
      <w:r>
        <w:rPr>
          <w:rFonts w:hint="eastAsia"/>
        </w:rPr>
        <w:t>用电</w:t>
      </w:r>
      <w:r>
        <w:t>参数</w:t>
      </w:r>
      <w:r>
        <w:rPr>
          <w:rFonts w:hint="eastAsia"/>
        </w:rPr>
        <w:t>变化情况以及</w:t>
      </w:r>
      <w:r>
        <w:t>数据统计分析模型等方法判定设施的运行状态和CEMS监测数据的</w:t>
      </w:r>
      <w:r>
        <w:rPr>
          <w:rFonts w:hint="eastAsia"/>
        </w:rPr>
        <w:t>准确</w:t>
      </w:r>
      <w:r>
        <w:t>性。</w:t>
      </w:r>
    </w:p>
    <w:p>
      <w:pPr>
        <w:pStyle w:val="76"/>
        <w:spacing w:before="156" w:after="156"/>
      </w:pPr>
      <w:r>
        <w:rPr>
          <w:rFonts w:hint="eastAsia"/>
        </w:rPr>
        <w:t>5.4.8安全管理</w:t>
      </w:r>
    </w:p>
    <w:p>
      <w:pPr>
        <w:pStyle w:val="68"/>
        <w:ind w:firstLine="420" w:firstLineChars="200"/>
      </w:pPr>
      <w:r>
        <w:t>操作人员需</w:t>
      </w:r>
      <w:r>
        <w:rPr>
          <w:rFonts w:hint="eastAsia"/>
        </w:rPr>
        <w:t>经用户认证</w:t>
      </w:r>
      <w:r>
        <w:t>后，才能进入界面。</w:t>
      </w:r>
      <w:r>
        <w:rPr>
          <w:rFonts w:hint="eastAsia"/>
        </w:rPr>
        <w:t>现场端系统应通过安全等级保护</w:t>
      </w:r>
      <w:r>
        <w:t>。</w:t>
      </w:r>
    </w:p>
    <w:p>
      <w:pPr>
        <w:pStyle w:val="76"/>
        <w:spacing w:before="156" w:after="156"/>
      </w:pPr>
      <w:r>
        <w:rPr>
          <w:rFonts w:hint="eastAsia"/>
        </w:rPr>
        <w:t>5.4.9自动恢复</w:t>
      </w:r>
    </w:p>
    <w:p>
      <w:pPr>
        <w:pStyle w:val="68"/>
        <w:ind w:firstLine="420" w:firstLineChars="200"/>
      </w:pPr>
      <w:r>
        <w:t>设备开机应自动运行，当停电或设备重新启动后，无需要人工操作，自动恢复运行状态并记录出现故障时的时间和恢复运行时的时间。</w:t>
      </w:r>
    </w:p>
    <w:p>
      <w:pPr>
        <w:pStyle w:val="76"/>
        <w:spacing w:before="156" w:after="156"/>
      </w:pPr>
      <w:r>
        <w:rPr>
          <w:rFonts w:hint="eastAsia"/>
        </w:rPr>
        <w:t>5.4.10运行指示</w:t>
      </w:r>
    </w:p>
    <w:p>
      <w:pPr>
        <w:pStyle w:val="68"/>
        <w:ind w:firstLine="420" w:firstLineChars="200"/>
      </w:pPr>
      <w:r>
        <w:t>设备应有电源、运行、故障、报警状态的运行指示。</w:t>
      </w:r>
    </w:p>
    <w:p>
      <w:pPr>
        <w:pStyle w:val="76"/>
        <w:spacing w:before="156" w:after="156"/>
      </w:pPr>
      <w:r>
        <w:rPr>
          <w:rFonts w:hint="eastAsia"/>
        </w:rPr>
        <w:t>5.4.11其他功能</w:t>
      </w:r>
    </w:p>
    <w:p>
      <w:pPr>
        <w:pStyle w:val="68"/>
        <w:numPr>
          <w:ilvl w:val="0"/>
          <w:numId w:val="0"/>
        </w:numPr>
        <w:ind w:firstLine="420" w:firstLineChars="200"/>
      </w:pPr>
      <w:r>
        <w:rPr>
          <w:rFonts w:hint="eastAsia"/>
        </w:rPr>
        <w:t>可</w:t>
      </w:r>
      <w:r>
        <w:t>按有关标准的规定</w:t>
      </w:r>
      <w:r>
        <w:rPr>
          <w:rFonts w:hint="eastAsia"/>
        </w:rPr>
        <w:t>对异常</w:t>
      </w:r>
      <w:r>
        <w:t>数据</w:t>
      </w:r>
      <w:r>
        <w:rPr>
          <w:rFonts w:hint="eastAsia"/>
        </w:rPr>
        <w:t>进行</w:t>
      </w:r>
      <w:r>
        <w:t>标识</w:t>
      </w:r>
      <w:r>
        <w:rPr>
          <w:rFonts w:hint="eastAsia"/>
        </w:rPr>
        <w:t>。可</w:t>
      </w:r>
      <w:r>
        <w:t>提供多种报告和数据汇总表</w:t>
      </w:r>
      <w:r>
        <w:rPr>
          <w:rFonts w:hint="eastAsia"/>
        </w:rPr>
        <w:t>，</w:t>
      </w:r>
      <w:r>
        <w:t>如：CEMS 排口监测数据与PEMS</w:t>
      </w:r>
      <w:r>
        <w:rPr>
          <w:rFonts w:hint="eastAsia"/>
        </w:rPr>
        <w:t>用电</w:t>
      </w:r>
      <w:r>
        <w:t>监测数据一致性比对</w:t>
      </w:r>
      <w:r>
        <w:rPr>
          <w:rFonts w:hint="eastAsia"/>
        </w:rPr>
        <w:t>等</w:t>
      </w:r>
      <w:r>
        <w:t>。</w:t>
      </w:r>
    </w:p>
    <w:p>
      <w:pPr>
        <w:pStyle w:val="72"/>
        <w:numPr>
          <w:ilvl w:val="1"/>
          <w:numId w:val="0"/>
        </w:numPr>
        <w:spacing w:before="156" w:after="156"/>
      </w:pPr>
      <w:r>
        <w:rPr>
          <w:rFonts w:hint="eastAsia"/>
        </w:rPr>
        <w:t>5.5中心端用电监管平台功能要求</w:t>
      </w:r>
    </w:p>
    <w:p>
      <w:pPr>
        <w:pStyle w:val="68"/>
        <w:ind w:firstLine="420" w:firstLineChars="200"/>
      </w:pPr>
      <w:r>
        <w:t>中心端</w:t>
      </w:r>
      <w:r>
        <w:rPr>
          <w:rFonts w:hint="eastAsia"/>
        </w:rPr>
        <w:t>用电监管平台应具备以下功能：</w:t>
      </w:r>
    </w:p>
    <w:p>
      <w:pPr>
        <w:pStyle w:val="76"/>
        <w:spacing w:before="156" w:after="156"/>
      </w:pPr>
      <w:r>
        <w:rPr>
          <w:rFonts w:hint="eastAsia"/>
        </w:rPr>
        <w:t>5.5.1基础信息管理</w:t>
      </w:r>
    </w:p>
    <w:p>
      <w:pPr>
        <w:pStyle w:val="68"/>
        <w:ind w:firstLine="420" w:firstLineChars="200"/>
      </w:pPr>
      <w:r>
        <w:rPr>
          <w:rFonts w:hint="eastAsia"/>
        </w:rPr>
        <w:t>可对排污单位基本信息进行管理。</w:t>
      </w:r>
    </w:p>
    <w:p>
      <w:pPr>
        <w:pStyle w:val="68"/>
        <w:ind w:firstLine="420" w:firstLineChars="200"/>
      </w:pPr>
      <w:r>
        <w:t>可对现场监测设备进行管理，更改配置参数、调整采集频率、设置产污、治污设施与现场监测设备的关联关系等。</w:t>
      </w:r>
    </w:p>
    <w:p>
      <w:pPr>
        <w:pStyle w:val="68"/>
        <w:ind w:firstLine="420" w:firstLineChars="200"/>
      </w:pPr>
      <w:r>
        <w:rPr>
          <w:rFonts w:hint="eastAsia"/>
        </w:rPr>
        <w:t>可对</w:t>
      </w:r>
      <w:r>
        <w:t>生产设备、治理设备</w:t>
      </w:r>
      <w:r>
        <w:rPr>
          <w:rFonts w:hint="eastAsia"/>
        </w:rPr>
        <w:t>工况异常报警阈值和判定规则、算法进行设置。</w:t>
      </w:r>
    </w:p>
    <w:p>
      <w:pPr>
        <w:pStyle w:val="76"/>
        <w:spacing w:before="156" w:after="156"/>
      </w:pPr>
      <w:r>
        <w:rPr>
          <w:rFonts w:hint="eastAsia"/>
        </w:rPr>
        <w:t>5.5.2数据采集</w:t>
      </w:r>
    </w:p>
    <w:p>
      <w:pPr>
        <w:pStyle w:val="68"/>
        <w:ind w:firstLine="420" w:firstLineChars="200"/>
      </w:pPr>
      <w:r>
        <w:rPr>
          <w:rFonts w:hint="eastAsia"/>
        </w:rPr>
        <w:t>可接收监测点上报的数据，可对监测点缺失的数据进行补采，并对异常数据进行校验、保证数据的准确性。</w:t>
      </w:r>
    </w:p>
    <w:p>
      <w:pPr>
        <w:pStyle w:val="76"/>
        <w:spacing w:before="156" w:after="156"/>
      </w:pPr>
      <w:r>
        <w:rPr>
          <w:rFonts w:hint="eastAsia"/>
        </w:rPr>
        <w:t>5.5.3数据预处理</w:t>
      </w:r>
    </w:p>
    <w:p>
      <w:pPr>
        <w:pStyle w:val="68"/>
        <w:ind w:firstLine="420" w:firstLineChars="200"/>
      </w:pPr>
      <w:r>
        <w:t>现场端采集设备数据上传至中心端</w:t>
      </w:r>
      <w:r>
        <w:rPr>
          <w:rFonts w:hint="eastAsia"/>
        </w:rPr>
        <w:t>系统</w:t>
      </w:r>
      <w:r>
        <w:t>后，中心端应对数据进行预处理，包括数据稽核，异常数据剔除</w:t>
      </w:r>
      <w:r>
        <w:rPr>
          <w:rFonts w:hint="eastAsia"/>
        </w:rPr>
        <w:t>等</w:t>
      </w:r>
      <w:r>
        <w:t>。</w:t>
      </w:r>
    </w:p>
    <w:p>
      <w:pPr>
        <w:pStyle w:val="76"/>
        <w:spacing w:before="156" w:after="156"/>
      </w:pPr>
      <w:r>
        <w:rPr>
          <w:rFonts w:hint="eastAsia"/>
        </w:rPr>
        <w:t>5.5.4数据查询</w:t>
      </w:r>
    </w:p>
    <w:p>
      <w:pPr>
        <w:pStyle w:val="68"/>
        <w:ind w:firstLine="420" w:firstLineChars="200"/>
      </w:pPr>
      <w:r>
        <w:rPr>
          <w:rFonts w:hint="eastAsia"/>
        </w:rPr>
        <w:t>可</w:t>
      </w:r>
      <w:r>
        <w:t>查询污染源基本信息。</w:t>
      </w:r>
      <w:r>
        <w:rPr>
          <w:rFonts w:hint="eastAsia"/>
        </w:rPr>
        <w:t>可</w:t>
      </w:r>
      <w:r>
        <w:t>通过地图的形式展现污染源分布情况</w:t>
      </w:r>
      <w:r>
        <w:rPr>
          <w:rFonts w:hint="eastAsia"/>
        </w:rPr>
        <w:t>。</w:t>
      </w:r>
    </w:p>
    <w:p>
      <w:pPr>
        <w:pStyle w:val="68"/>
        <w:numPr>
          <w:ilvl w:val="0"/>
          <w:numId w:val="0"/>
        </w:numPr>
        <w:ind w:firstLine="420" w:firstLineChars="200"/>
      </w:pPr>
      <w:r>
        <w:t>可对各污染源、生产设备、治理设备的用电数据进行查询</w:t>
      </w:r>
      <w:r>
        <w:rPr>
          <w:rFonts w:hint="eastAsia"/>
        </w:rPr>
        <w:t>。</w:t>
      </w:r>
    </w:p>
    <w:p>
      <w:pPr>
        <w:pStyle w:val="76"/>
        <w:spacing w:before="156" w:after="156"/>
      </w:pPr>
      <w:r>
        <w:rPr>
          <w:rFonts w:hint="eastAsia"/>
        </w:rPr>
        <w:t>5.5.5数据统计</w:t>
      </w:r>
    </w:p>
    <w:p>
      <w:pPr>
        <w:pStyle w:val="68"/>
        <w:ind w:firstLine="420" w:firstLineChars="200"/>
      </w:pPr>
      <w:r>
        <w:t>可对各地区已安装监测设备的</w:t>
      </w:r>
      <w:r>
        <w:rPr>
          <w:rFonts w:hint="eastAsia"/>
        </w:rPr>
        <w:t>排污</w:t>
      </w:r>
      <w:r>
        <w:t>单位数量进行统计</w:t>
      </w:r>
      <w:r>
        <w:rPr>
          <w:rFonts w:hint="eastAsia"/>
        </w:rPr>
        <w:t>，</w:t>
      </w:r>
      <w:r>
        <w:t>对排污单位用电</w:t>
      </w:r>
      <w:r>
        <w:rPr>
          <w:rFonts w:hint="eastAsia"/>
        </w:rPr>
        <w:t>情况</w:t>
      </w:r>
      <w:r>
        <w:t>进行汇总</w:t>
      </w:r>
      <w:r>
        <w:rPr>
          <w:rFonts w:hint="eastAsia"/>
        </w:rPr>
        <w:t>，</w:t>
      </w:r>
      <w:r>
        <w:t>可以按地区、行业进行统计、对比，</w:t>
      </w:r>
      <w:r>
        <w:rPr>
          <w:rFonts w:hint="eastAsia"/>
        </w:rPr>
        <w:t>可</w:t>
      </w:r>
      <w:r>
        <w:t>导出数据报表</w:t>
      </w:r>
      <w:r>
        <w:rPr>
          <w:rFonts w:hint="eastAsia"/>
        </w:rPr>
        <w:t>。</w:t>
      </w:r>
    </w:p>
    <w:p>
      <w:pPr>
        <w:pStyle w:val="76"/>
        <w:spacing w:before="156" w:after="156"/>
      </w:pPr>
      <w:r>
        <w:rPr>
          <w:rFonts w:hint="eastAsia"/>
        </w:rPr>
        <w:t>5.5.6数据分析</w:t>
      </w:r>
    </w:p>
    <w:p>
      <w:pPr>
        <w:pStyle w:val="68"/>
        <w:ind w:firstLine="420" w:firstLineChars="200"/>
      </w:pPr>
      <w:r>
        <w:t>根据数据关联关系</w:t>
      </w:r>
      <w:r>
        <w:rPr>
          <w:rFonts w:hint="eastAsia"/>
        </w:rPr>
        <w:t>判断</w:t>
      </w:r>
      <w:r>
        <w:t>生产设备、治理设备的启停状态，并根据设备的主备关系、运行周期综合得出治理设备异常关停的结论。</w:t>
      </w:r>
    </w:p>
    <w:p>
      <w:pPr>
        <w:pStyle w:val="68"/>
        <w:ind w:firstLine="420" w:firstLineChars="200"/>
      </w:pPr>
      <w:r>
        <w:t>对于停限产</w:t>
      </w:r>
      <w:r>
        <w:rPr>
          <w:rFonts w:hint="eastAsia"/>
        </w:rPr>
        <w:t>、削峰等</w:t>
      </w:r>
      <w:r>
        <w:t>用途的</w:t>
      </w:r>
      <w:r>
        <w:rPr>
          <w:rFonts w:hint="eastAsia"/>
        </w:rPr>
        <w:t>监测</w:t>
      </w:r>
      <w:r>
        <w:t>点，应使用设备运行功率</w:t>
      </w:r>
      <w:r>
        <w:rPr>
          <w:rFonts w:hint="eastAsia"/>
        </w:rPr>
        <w:t>、</w:t>
      </w:r>
      <w:r>
        <w:t>用电时段</w:t>
      </w:r>
      <w:r>
        <w:rPr>
          <w:rFonts w:hint="eastAsia"/>
        </w:rPr>
        <w:t>、监测</w:t>
      </w:r>
      <w:r>
        <w:t>点群组停运比率，综合分析判断治污设施运行</w:t>
      </w:r>
      <w:r>
        <w:rPr>
          <w:rFonts w:hint="eastAsia"/>
        </w:rPr>
        <w:t>、</w:t>
      </w:r>
      <w:r>
        <w:t>停产</w:t>
      </w:r>
      <w:r>
        <w:rPr>
          <w:rFonts w:hint="eastAsia"/>
        </w:rPr>
        <w:t>、</w:t>
      </w:r>
      <w:r>
        <w:t>限产</w:t>
      </w:r>
      <w:r>
        <w:rPr>
          <w:rFonts w:hint="eastAsia"/>
        </w:rPr>
        <w:t>、削峰等指令</w:t>
      </w:r>
      <w:r>
        <w:t>执行情况。</w:t>
      </w:r>
    </w:p>
    <w:p>
      <w:pPr>
        <w:pStyle w:val="68"/>
        <w:ind w:firstLine="420" w:firstLineChars="200"/>
      </w:pPr>
      <w:r>
        <w:t>应具有治理</w:t>
      </w:r>
      <w:r>
        <w:rPr>
          <w:rFonts w:hint="eastAsia"/>
        </w:rPr>
        <w:t>设施</w:t>
      </w:r>
      <w:r>
        <w:t>运行异常、停限产执行异常</w:t>
      </w:r>
      <w:r>
        <w:rPr>
          <w:rFonts w:hint="eastAsia"/>
        </w:rPr>
        <w:t>、削峰绩效</w:t>
      </w:r>
      <w:r>
        <w:t>的统计功能，可以查询发生异常的污染源名单，并能通过图表的直观表达异常发生情况。</w:t>
      </w:r>
    </w:p>
    <w:p>
      <w:pPr>
        <w:pStyle w:val="68"/>
        <w:ind w:firstLine="420" w:firstLineChars="200"/>
      </w:pPr>
      <w:r>
        <w:rPr>
          <w:rFonts w:hint="eastAsia"/>
        </w:rPr>
        <w:t>对污染源生产与治污设施运行状况的判断方法可参考本技术指南第7节。</w:t>
      </w:r>
    </w:p>
    <w:p>
      <w:pPr>
        <w:pStyle w:val="76"/>
        <w:spacing w:before="156" w:after="156"/>
      </w:pPr>
      <w:r>
        <w:rPr>
          <w:rFonts w:hint="eastAsia"/>
        </w:rPr>
        <w:t>5.5.7异常督办</w:t>
      </w:r>
    </w:p>
    <w:p>
      <w:pPr>
        <w:pStyle w:val="68"/>
        <w:ind w:firstLine="420" w:firstLineChars="200"/>
      </w:pPr>
      <w:r>
        <w:rPr>
          <w:rFonts w:hint="eastAsia"/>
        </w:rPr>
        <w:t>根据系统设置条件，将报警信息推送给执法人员或排污单位，对严重违法问题进行现场检查和在线督办。</w:t>
      </w:r>
    </w:p>
    <w:p>
      <w:pPr>
        <w:pStyle w:val="76"/>
        <w:spacing w:before="156" w:after="156"/>
      </w:pPr>
      <w:r>
        <w:rPr>
          <w:rFonts w:hint="eastAsia"/>
        </w:rPr>
        <w:t>5.5.8异常报备与审批</w:t>
      </w:r>
    </w:p>
    <w:p>
      <w:pPr>
        <w:pStyle w:val="68"/>
        <w:ind w:firstLine="420" w:firstLineChars="200"/>
      </w:pPr>
      <w:r>
        <w:rPr>
          <w:rFonts w:hint="eastAsia"/>
        </w:rPr>
        <w:t>当系统报警的异常问题与实际情况存在偏差时，</w:t>
      </w:r>
      <w:r>
        <w:t>执法人员或排污单位可在系统上报异常发生原因、上传现场照片、对异常情况进行说明。</w:t>
      </w:r>
    </w:p>
    <w:p>
      <w:pPr>
        <w:pStyle w:val="68"/>
        <w:ind w:firstLine="420" w:firstLineChars="200"/>
      </w:pPr>
      <w:r>
        <w:rPr>
          <w:rFonts w:hint="eastAsia"/>
        </w:rPr>
        <w:t>排污单位应在可能发生异常问题情况时提前进行报备，生态环境部门通过系统看到报备信息后可以进行审核，录入审核意见，做出审核通过或者审核驳回操作。</w:t>
      </w:r>
    </w:p>
    <w:p>
      <w:pPr>
        <w:pStyle w:val="76"/>
        <w:spacing w:before="156" w:after="156"/>
      </w:pPr>
      <w:r>
        <w:rPr>
          <w:rFonts w:hint="eastAsia"/>
        </w:rPr>
        <w:t>5.5.9安全管理</w:t>
      </w:r>
    </w:p>
    <w:p>
      <w:pPr>
        <w:pStyle w:val="68"/>
        <w:numPr>
          <w:ilvl w:val="0"/>
          <w:numId w:val="0"/>
        </w:numPr>
        <w:ind w:firstLine="420" w:firstLineChars="200"/>
      </w:pPr>
      <w:r>
        <w:t>操作人员需</w:t>
      </w:r>
      <w:r>
        <w:rPr>
          <w:rFonts w:hint="eastAsia"/>
        </w:rPr>
        <w:t>经用户认证</w:t>
      </w:r>
      <w:r>
        <w:t>后，才能进入界面。可对系统用户账号进行管理</w:t>
      </w:r>
      <w:r>
        <w:rPr>
          <w:rFonts w:hint="eastAsia"/>
        </w:rPr>
        <w:t>，</w:t>
      </w:r>
      <w:r>
        <w:t>合理分配使用权限。</w:t>
      </w:r>
      <w:r>
        <w:rPr>
          <w:rFonts w:hint="eastAsia"/>
        </w:rPr>
        <w:t>系统应通过安全等级保护</w:t>
      </w:r>
      <w:r>
        <w:t>。</w:t>
      </w:r>
    </w:p>
    <w:p>
      <w:pPr>
        <w:pStyle w:val="75"/>
        <w:spacing w:before="312" w:after="312"/>
        <w:rPr>
          <w:szCs w:val="22"/>
        </w:rPr>
      </w:pPr>
      <w:bookmarkStart w:id="15" w:name="_Toc5172482"/>
      <w:r>
        <w:rPr>
          <w:rFonts w:hint="eastAsia"/>
          <w:szCs w:val="22"/>
        </w:rPr>
        <w:t>6 信号通讯与传输</w:t>
      </w:r>
      <w:bookmarkEnd w:id="15"/>
      <w:r>
        <w:rPr>
          <w:rFonts w:hint="eastAsia"/>
          <w:szCs w:val="22"/>
        </w:rPr>
        <w:t>要求</w:t>
      </w:r>
    </w:p>
    <w:p>
      <w:pPr>
        <w:pStyle w:val="72"/>
        <w:numPr>
          <w:ilvl w:val="1"/>
          <w:numId w:val="0"/>
        </w:numPr>
        <w:spacing w:before="156" w:after="156"/>
      </w:pPr>
      <w:bookmarkStart w:id="16" w:name="_Toc5172483"/>
      <w:r>
        <w:rPr>
          <w:rFonts w:hint="eastAsia"/>
        </w:rPr>
        <w:t>6.1</w:t>
      </w:r>
      <w:r>
        <w:t>数据</w:t>
      </w:r>
      <w:r>
        <w:rPr>
          <w:rFonts w:hint="eastAsia"/>
        </w:rPr>
        <w:t>通讯</w:t>
      </w:r>
      <w:bookmarkEnd w:id="16"/>
    </w:p>
    <w:p>
      <w:pPr>
        <w:pStyle w:val="68"/>
        <w:ind w:firstLine="420" w:firstLineChars="200"/>
      </w:pPr>
      <w:r>
        <w:t>现场端</w:t>
      </w:r>
      <w:r>
        <w:rPr>
          <w:rFonts w:hint="eastAsia"/>
        </w:rPr>
        <w:t>用电监管设备优先采用</w:t>
      </w:r>
      <w:r>
        <w:t>无线通讯</w:t>
      </w:r>
      <w:r>
        <w:rPr>
          <w:rFonts w:hint="eastAsia"/>
        </w:rPr>
        <w:t>方式组网，</w:t>
      </w:r>
      <w:r>
        <w:t>支持</w:t>
      </w:r>
      <w:r>
        <w:rPr>
          <w:rFonts w:hint="eastAsia"/>
        </w:rPr>
        <w:t>多种间隔时间采集传输数据</w:t>
      </w:r>
      <w:r>
        <w:t>，</w:t>
      </w:r>
      <w:r>
        <w:rPr>
          <w:rFonts w:hint="eastAsia"/>
        </w:rPr>
        <w:t>通常情况下时间间隔设置为15分钟。中心端系统可对</w:t>
      </w:r>
      <w:r>
        <w:t>采集间隔</w:t>
      </w:r>
      <w:r>
        <w:rPr>
          <w:rFonts w:hint="eastAsia"/>
        </w:rPr>
        <w:t>进行远程设置</w:t>
      </w:r>
      <w:r>
        <w:t>。</w:t>
      </w:r>
    </w:p>
    <w:p>
      <w:pPr>
        <w:pStyle w:val="68"/>
        <w:ind w:firstLine="420" w:firstLineChars="200"/>
      </w:pPr>
      <w:r>
        <w:rPr>
          <w:rFonts w:hint="eastAsia"/>
        </w:rPr>
        <w:t>用电监管</w:t>
      </w:r>
      <w:r>
        <w:t>设备采集数据的成功率应不低于99.8%。</w:t>
      </w:r>
      <w:r>
        <w:rPr>
          <w:rFonts w:hint="eastAsia"/>
        </w:rPr>
        <w:t>数据补传滞后时间不超过1小时。</w:t>
      </w:r>
    </w:p>
    <w:p>
      <w:pPr>
        <w:pStyle w:val="68"/>
        <w:ind w:firstLine="420" w:firstLineChars="200"/>
      </w:pPr>
      <w:r>
        <w:t>当</w:t>
      </w:r>
      <w:r>
        <w:rPr>
          <w:rFonts w:hint="eastAsia"/>
        </w:rPr>
        <w:t>污染源主要用电设备</w:t>
      </w:r>
      <w:r>
        <w:t>产生异常、故障、越限报警等</w:t>
      </w:r>
      <w:r>
        <w:rPr>
          <w:rFonts w:hint="eastAsia"/>
        </w:rPr>
        <w:t>事件</w:t>
      </w:r>
      <w:r>
        <w:t>信息时，</w:t>
      </w:r>
      <w:r>
        <w:rPr>
          <w:rFonts w:hint="eastAsia"/>
        </w:rPr>
        <w:t>用电监管设备应在5秒之内</w:t>
      </w:r>
      <w:r>
        <w:t>主动向数据采集仪报送数据。</w:t>
      </w:r>
    </w:p>
    <w:p>
      <w:pPr>
        <w:pStyle w:val="68"/>
        <w:ind w:firstLine="420" w:firstLineChars="200"/>
      </w:pPr>
      <w:r>
        <w:rPr>
          <w:rFonts w:hint="eastAsia"/>
        </w:rPr>
        <w:t>数据采</w:t>
      </w:r>
      <w:r>
        <w:t>集</w:t>
      </w:r>
      <w:r>
        <w:rPr>
          <w:rFonts w:hint="eastAsia"/>
        </w:rPr>
        <w:t>传输</w:t>
      </w:r>
      <w:r>
        <w:t>仪</w:t>
      </w:r>
      <w:r>
        <w:rPr>
          <w:rFonts w:hint="eastAsia"/>
        </w:rPr>
        <w:t>应支持无线蜂窝网络通讯或有线以太网等通讯方式，实时监测数据应在5秒内报送到中心端系统</w:t>
      </w:r>
      <w:r>
        <w:t>。</w:t>
      </w:r>
    </w:p>
    <w:p>
      <w:pPr>
        <w:pStyle w:val="72"/>
        <w:numPr>
          <w:ilvl w:val="1"/>
          <w:numId w:val="0"/>
        </w:numPr>
        <w:spacing w:before="156" w:after="156"/>
      </w:pPr>
      <w:bookmarkStart w:id="17" w:name="_Toc5172484"/>
      <w:r>
        <w:rPr>
          <w:rFonts w:hint="eastAsia"/>
        </w:rPr>
        <w:t>6.2数采仪存储</w:t>
      </w:r>
      <w:bookmarkEnd w:id="17"/>
    </w:p>
    <w:p>
      <w:pPr>
        <w:pStyle w:val="68"/>
        <w:ind w:firstLine="420" w:firstLineChars="200"/>
      </w:pPr>
      <w:r>
        <w:rPr>
          <w:rFonts w:hint="eastAsia"/>
        </w:rPr>
        <w:t>数据采集传输仪</w:t>
      </w:r>
      <w:r>
        <w:t>存储单元应具备断电保护功能，断电后所存储数据不丢失</w:t>
      </w:r>
      <w:r>
        <w:rPr>
          <w:rFonts w:hint="eastAsia"/>
        </w:rPr>
        <w:t>，</w:t>
      </w:r>
      <w:r>
        <w:t>可通过磁盘、U 盘、存储卡或专用软件导出数据。</w:t>
      </w:r>
    </w:p>
    <w:p>
      <w:pPr>
        <w:pStyle w:val="68"/>
        <w:ind w:firstLine="420" w:firstLineChars="200"/>
      </w:pPr>
      <w:r>
        <w:t>数据采集</w:t>
      </w:r>
      <w:r>
        <w:rPr>
          <w:rFonts w:hint="eastAsia"/>
        </w:rPr>
        <w:t>传输</w:t>
      </w:r>
      <w:r>
        <w:t>仪</w:t>
      </w:r>
      <w:r>
        <w:rPr>
          <w:rFonts w:hint="eastAsia"/>
        </w:rPr>
        <w:t>应</w:t>
      </w:r>
      <w:r>
        <w:t>能存储</w:t>
      </w:r>
      <w:r>
        <w:rPr>
          <w:rFonts w:hint="eastAsia"/>
        </w:rPr>
        <w:t>1年</w:t>
      </w:r>
      <w:r>
        <w:t>以上</w:t>
      </w:r>
      <w:r>
        <w:rPr>
          <w:rFonts w:hint="eastAsia"/>
        </w:rPr>
        <w:t>实时</w:t>
      </w:r>
      <w:r>
        <w:t>数据</w:t>
      </w:r>
      <w:r>
        <w:rPr>
          <w:rFonts w:hint="eastAsia"/>
        </w:rPr>
        <w:t>、</w:t>
      </w:r>
      <w:r>
        <w:t>日</w:t>
      </w:r>
      <w:r>
        <w:rPr>
          <w:rFonts w:hint="eastAsia"/>
        </w:rPr>
        <w:t>统计数据、</w:t>
      </w:r>
      <w:r>
        <w:t>月</w:t>
      </w:r>
      <w:r>
        <w:rPr>
          <w:rFonts w:hint="eastAsia"/>
        </w:rPr>
        <w:t>统计数据</w:t>
      </w:r>
      <w:r>
        <w:t>。监测终端应能保存最近100条事件记录日志。</w:t>
      </w:r>
      <w:r>
        <w:rPr>
          <w:rFonts w:hint="eastAsia"/>
        </w:rPr>
        <w:t>现场端监测系统应采用数据压缩、加密存储、</w:t>
      </w:r>
      <w:r>
        <w:t>存取权限控制</w:t>
      </w:r>
      <w:r>
        <w:rPr>
          <w:rFonts w:hint="eastAsia"/>
        </w:rPr>
        <w:t>等方式保障数据安全。</w:t>
      </w:r>
    </w:p>
    <w:p>
      <w:pPr>
        <w:pStyle w:val="72"/>
        <w:numPr>
          <w:ilvl w:val="1"/>
          <w:numId w:val="0"/>
        </w:numPr>
        <w:spacing w:before="156" w:after="156"/>
      </w:pPr>
      <w:bookmarkStart w:id="18" w:name="_Toc5172485"/>
      <w:r>
        <w:rPr>
          <w:rFonts w:hint="eastAsia"/>
        </w:rPr>
        <w:t>6.3数据传输要求</w:t>
      </w:r>
      <w:bookmarkEnd w:id="18"/>
    </w:p>
    <w:p>
      <w:pPr>
        <w:pStyle w:val="76"/>
        <w:spacing w:before="156" w:after="156"/>
        <w:rPr>
          <w:rFonts w:ascii="宋体" w:eastAsia="宋体"/>
        </w:rPr>
      </w:pPr>
      <w:r>
        <w:rPr>
          <w:rFonts w:hint="eastAsia" w:ascii="宋体" w:eastAsia="宋体"/>
        </w:rPr>
        <w:t>6.3.1</w:t>
      </w:r>
      <w:r>
        <w:rPr>
          <w:rFonts w:ascii="宋体" w:eastAsia="宋体"/>
        </w:rPr>
        <w:t>数据传输协议</w:t>
      </w:r>
    </w:p>
    <w:p>
      <w:pPr>
        <w:pStyle w:val="68"/>
        <w:ind w:firstLine="420" w:firstLineChars="200"/>
        <w:rPr>
          <w:highlight w:val="yellow"/>
        </w:rPr>
      </w:pPr>
      <w:r>
        <w:t>数据传输应符合HJ 212《污染物在线监测（监测）系统数据传输标准》要求。通讯命令示例和拆分包及应答机制示例见</w:t>
      </w:r>
      <w:r>
        <w:rPr>
          <w:rFonts w:hint="eastAsia"/>
        </w:rPr>
        <w:t>附录E</w:t>
      </w:r>
      <w:r>
        <w:t>。</w:t>
      </w:r>
    </w:p>
    <w:p>
      <w:pPr>
        <w:pStyle w:val="76"/>
        <w:spacing w:before="156" w:after="156"/>
        <w:rPr>
          <w:rFonts w:ascii="宋体" w:eastAsia="宋体"/>
        </w:rPr>
      </w:pPr>
      <w:r>
        <w:rPr>
          <w:rFonts w:hint="eastAsia" w:ascii="宋体" w:eastAsia="宋体"/>
        </w:rPr>
        <w:t>6.3.2</w:t>
      </w:r>
      <w:r>
        <w:rPr>
          <w:rFonts w:ascii="宋体" w:eastAsia="宋体"/>
        </w:rPr>
        <w:t>现场端监测因子编码规则</w:t>
      </w:r>
    </w:p>
    <w:p>
      <w:pPr>
        <w:pStyle w:val="68"/>
        <w:ind w:firstLine="420" w:firstLineChars="200"/>
      </w:pPr>
      <w:r>
        <w:t>为满足</w:t>
      </w:r>
      <w:r>
        <w:rPr>
          <w:rFonts w:hint="eastAsia"/>
        </w:rPr>
        <w:t>涉气排污单位用电监管</w:t>
      </w:r>
      <w:r>
        <w:t>的要求，对</w:t>
      </w:r>
      <w:r>
        <w:rPr>
          <w:rFonts w:hint="eastAsia"/>
        </w:rPr>
        <w:t>用电</w:t>
      </w:r>
      <w:r>
        <w:t>监测因子编码进行修编扩充。</w:t>
      </w:r>
    </w:p>
    <w:p>
      <w:pPr>
        <w:pStyle w:val="68"/>
        <w:ind w:firstLine="420" w:firstLineChars="200"/>
      </w:pPr>
      <w:r>
        <w:t>现场端监测因子编码格式采用六位固定长度的字母数字混合格式组成。</w:t>
      </w:r>
    </w:p>
    <w:p>
      <w:pPr>
        <w:pStyle w:val="145"/>
        <w:numPr>
          <w:ilvl w:val="3"/>
          <w:numId w:val="0"/>
        </w:numPr>
      </w:pPr>
      <w:r>
        <w:rPr>
          <w:rFonts w:hint="eastAsia"/>
        </w:rPr>
        <w:t>6.3.2.1生产设施编码规则</w:t>
      </w:r>
    </w:p>
    <w:p>
      <w:pPr>
        <w:pStyle w:val="68"/>
        <w:jc w:val="center"/>
      </w:pPr>
      <w:r>
        <w:object>
          <v:shape id="_x0000_i1025" o:spt="75" type="#_x0000_t75" style="height:223.5pt;width:404.25pt;" o:ole="t" filled="f" o:preferrelative="t" stroked="f" coordsize="21600,21600">
            <v:path/>
            <v:fill on="f" focussize="0,0"/>
            <v:stroke on="f" joinstyle="miter"/>
            <v:imagedata r:id="rId6" o:title=""/>
            <o:lock v:ext="edit" aspectratio="t"/>
            <w10:wrap type="none"/>
            <w10:anchorlock/>
          </v:shape>
          <o:OLEObject Type="Embed" ProgID="Visio.Drawing.15" ShapeID="_x0000_i1025" DrawAspect="Content" ObjectID="_1468075725">
            <o:LockedField>false</o:LockedField>
          </o:OLEObject>
        </w:object>
      </w:r>
    </w:p>
    <w:p>
      <w:pPr>
        <w:pStyle w:val="68"/>
        <w:numPr>
          <w:ilvl w:val="0"/>
          <w:numId w:val="0"/>
        </w:numPr>
        <w:jc w:val="center"/>
        <w:rPr>
          <w:szCs w:val="22"/>
        </w:rPr>
      </w:pPr>
      <w:r>
        <w:rPr>
          <w:rFonts w:hint="eastAsia"/>
          <w:szCs w:val="22"/>
        </w:rPr>
        <w:t xml:space="preserve">图2  </w:t>
      </w:r>
      <w:r>
        <w:rPr>
          <w:rFonts w:hint="eastAsia"/>
        </w:rPr>
        <w:t>生产设施编码规则示意图</w:t>
      </w:r>
    </w:p>
    <w:p>
      <w:pPr>
        <w:pStyle w:val="68"/>
        <w:ind w:firstLine="420" w:firstLineChars="200"/>
        <w:rPr>
          <w:szCs w:val="22"/>
        </w:rPr>
      </w:pPr>
    </w:p>
    <w:p>
      <w:pPr>
        <w:pStyle w:val="68"/>
        <w:ind w:firstLine="420" w:firstLineChars="200"/>
        <w:rPr>
          <w:szCs w:val="22"/>
        </w:rPr>
      </w:pPr>
      <w:r>
        <w:rPr>
          <w:rFonts w:hint="eastAsia"/>
          <w:szCs w:val="22"/>
        </w:rPr>
        <w:t>设施编码分四层，采用数字和字母表示（0</w:t>
      </w:r>
      <w:r>
        <w:rPr>
          <w:szCs w:val="22"/>
        </w:rPr>
        <w:t>-9、a-z</w:t>
      </w:r>
      <w:r>
        <w:rPr>
          <w:rFonts w:hint="eastAsia"/>
          <w:szCs w:val="22"/>
        </w:rPr>
        <w:t>、</w:t>
      </w:r>
      <w:r>
        <w:rPr>
          <w:szCs w:val="22"/>
        </w:rPr>
        <w:t>A</w:t>
      </w:r>
      <w:r>
        <w:rPr>
          <w:rFonts w:hint="eastAsia"/>
          <w:szCs w:val="22"/>
        </w:rPr>
        <w:t>-Z），区分大小写。</w:t>
      </w:r>
    </w:p>
    <w:p>
      <w:pPr>
        <w:pStyle w:val="68"/>
        <w:ind w:firstLine="420" w:firstLineChars="200"/>
        <w:rPr>
          <w:szCs w:val="22"/>
        </w:rPr>
      </w:pPr>
      <w:r>
        <w:rPr>
          <w:szCs w:val="22"/>
        </w:rPr>
        <w:t>第一层：</w:t>
      </w:r>
      <w:r>
        <w:rPr>
          <w:rFonts w:hint="eastAsia"/>
          <w:szCs w:val="22"/>
        </w:rPr>
        <w:t>生产单元</w:t>
      </w:r>
      <w:r>
        <w:rPr>
          <w:szCs w:val="22"/>
        </w:rPr>
        <w:t>类型</w:t>
      </w:r>
      <w:r>
        <w:rPr>
          <w:rFonts w:hint="eastAsia"/>
          <w:szCs w:val="22"/>
        </w:rPr>
        <w:t>编码，</w:t>
      </w:r>
      <w:r>
        <w:rPr>
          <w:szCs w:val="22"/>
        </w:rPr>
        <w:t>表示生产设施工艺类别，采用</w:t>
      </w:r>
      <w:r>
        <w:rPr>
          <w:rFonts w:hint="eastAsia"/>
          <w:szCs w:val="22"/>
        </w:rPr>
        <w:t>2</w:t>
      </w:r>
      <w:r>
        <w:rPr>
          <w:szCs w:val="22"/>
        </w:rPr>
        <w:t xml:space="preserve"> 位阿拉伯数字或字母表示</w:t>
      </w:r>
      <w:r>
        <w:rPr>
          <w:rFonts w:hint="eastAsia"/>
          <w:szCs w:val="22"/>
        </w:rPr>
        <w:t>，</w:t>
      </w:r>
      <w:r>
        <w:rPr>
          <w:szCs w:val="22"/>
        </w:rPr>
        <w:t>其中第一位为字母即 a-z</w:t>
      </w:r>
      <w:r>
        <w:rPr>
          <w:rFonts w:hint="eastAsia"/>
          <w:szCs w:val="22"/>
        </w:rPr>
        <w:t>、</w:t>
      </w:r>
      <w:r>
        <w:rPr>
          <w:szCs w:val="22"/>
        </w:rPr>
        <w:t>A</w:t>
      </w:r>
      <w:r>
        <w:rPr>
          <w:rFonts w:hint="eastAsia"/>
          <w:szCs w:val="22"/>
        </w:rPr>
        <w:t>-Z；</w:t>
      </w:r>
    </w:p>
    <w:p>
      <w:pPr>
        <w:pStyle w:val="68"/>
        <w:ind w:firstLine="420" w:firstLineChars="200"/>
        <w:rPr>
          <w:szCs w:val="22"/>
        </w:rPr>
      </w:pPr>
      <w:r>
        <w:rPr>
          <w:szCs w:val="22"/>
        </w:rPr>
        <w:t>第</w:t>
      </w:r>
      <w:r>
        <w:rPr>
          <w:rFonts w:hint="eastAsia"/>
          <w:szCs w:val="22"/>
        </w:rPr>
        <w:t>二</w:t>
      </w:r>
      <w:r>
        <w:rPr>
          <w:szCs w:val="22"/>
        </w:rPr>
        <w:t>层：</w:t>
      </w:r>
      <w:r>
        <w:rPr>
          <w:rFonts w:hint="eastAsia"/>
          <w:szCs w:val="22"/>
        </w:rPr>
        <w:t>生产单元序号；</w:t>
      </w:r>
      <w:r>
        <w:rPr>
          <w:szCs w:val="22"/>
        </w:rPr>
        <w:t>采用1 位阿拉伯数字或字母表示</w:t>
      </w:r>
      <w:r>
        <w:rPr>
          <w:rFonts w:hint="eastAsia"/>
          <w:szCs w:val="22"/>
        </w:rPr>
        <w:t>；</w:t>
      </w:r>
    </w:p>
    <w:p>
      <w:pPr>
        <w:pStyle w:val="68"/>
        <w:ind w:firstLine="420" w:firstLineChars="200"/>
        <w:rPr>
          <w:szCs w:val="22"/>
        </w:rPr>
      </w:pPr>
      <w:r>
        <w:rPr>
          <w:szCs w:val="22"/>
        </w:rPr>
        <w:t>第</w:t>
      </w:r>
      <w:r>
        <w:rPr>
          <w:rFonts w:hint="eastAsia"/>
          <w:szCs w:val="22"/>
        </w:rPr>
        <w:t>三</w:t>
      </w:r>
      <w:r>
        <w:rPr>
          <w:szCs w:val="22"/>
        </w:rPr>
        <w:t>层：设备</w:t>
      </w:r>
      <w:r>
        <w:rPr>
          <w:rFonts w:hint="eastAsia"/>
          <w:szCs w:val="22"/>
        </w:rPr>
        <w:t>类型编码</w:t>
      </w:r>
      <w:r>
        <w:rPr>
          <w:szCs w:val="22"/>
        </w:rPr>
        <w:t>，采用</w:t>
      </w:r>
      <w:r>
        <w:rPr>
          <w:rFonts w:hint="eastAsia"/>
          <w:szCs w:val="22"/>
        </w:rPr>
        <w:t>2</w:t>
      </w:r>
      <w:r>
        <w:rPr>
          <w:szCs w:val="22"/>
        </w:rPr>
        <w:t xml:space="preserve"> 位阿拉伯数字或字母表示</w:t>
      </w:r>
      <w:r>
        <w:rPr>
          <w:rFonts w:hint="eastAsia"/>
          <w:szCs w:val="22"/>
        </w:rPr>
        <w:t>；</w:t>
      </w:r>
    </w:p>
    <w:p>
      <w:pPr>
        <w:pStyle w:val="68"/>
        <w:ind w:firstLine="420" w:firstLineChars="200"/>
        <w:rPr>
          <w:szCs w:val="22"/>
        </w:rPr>
      </w:pPr>
      <w:r>
        <w:rPr>
          <w:szCs w:val="22"/>
        </w:rPr>
        <w:t>第</w:t>
      </w:r>
      <w:r>
        <w:rPr>
          <w:rFonts w:hint="eastAsia"/>
          <w:szCs w:val="22"/>
        </w:rPr>
        <w:t>四</w:t>
      </w:r>
      <w:r>
        <w:rPr>
          <w:szCs w:val="22"/>
        </w:rPr>
        <w:t>层</w:t>
      </w:r>
      <w:r>
        <w:rPr>
          <w:rFonts w:hint="eastAsia"/>
          <w:szCs w:val="22"/>
        </w:rPr>
        <w:t>：设备序号；</w:t>
      </w:r>
      <w:r>
        <w:rPr>
          <w:szCs w:val="22"/>
        </w:rPr>
        <w:t>采用1 位阿拉伯数字或字母表示</w:t>
      </w:r>
      <w:r>
        <w:rPr>
          <w:rFonts w:hint="eastAsia"/>
          <w:szCs w:val="22"/>
        </w:rPr>
        <w:t>；</w:t>
      </w:r>
    </w:p>
    <w:p>
      <w:pPr>
        <w:pStyle w:val="68"/>
        <w:ind w:firstLine="420" w:firstLineChars="200"/>
        <w:rPr>
          <w:szCs w:val="22"/>
        </w:rPr>
      </w:pPr>
      <w:r>
        <w:rPr>
          <w:rFonts w:hint="eastAsia"/>
          <w:szCs w:val="22"/>
        </w:rPr>
        <w:t>在设施编码后通过</w:t>
      </w:r>
      <w:r>
        <w:rPr>
          <w:szCs w:val="22"/>
        </w:rPr>
        <w:t>附加码表示</w:t>
      </w:r>
      <w:r>
        <w:rPr>
          <w:rFonts w:hint="eastAsia"/>
          <w:szCs w:val="22"/>
        </w:rPr>
        <w:t>电气参数，</w:t>
      </w:r>
      <w:r>
        <w:rPr>
          <w:szCs w:val="22"/>
        </w:rPr>
        <w:t>采用符号“-”</w:t>
      </w:r>
      <w:r>
        <w:rPr>
          <w:rFonts w:hint="eastAsia"/>
          <w:szCs w:val="22"/>
        </w:rPr>
        <w:t>（减号，ASC码为45）</w:t>
      </w:r>
      <w:r>
        <w:rPr>
          <w:szCs w:val="22"/>
        </w:rPr>
        <w:t>进行分隔</w:t>
      </w:r>
      <w:r>
        <w:rPr>
          <w:rFonts w:hint="eastAsia"/>
          <w:szCs w:val="22"/>
        </w:rPr>
        <w:t>；电气参数编码</w:t>
      </w:r>
      <w:r>
        <w:rPr>
          <w:szCs w:val="22"/>
        </w:rPr>
        <w:t>由数字或者字母组成，具体编码参见</w:t>
      </w:r>
      <w:r>
        <w:rPr>
          <w:rFonts w:hint="eastAsia"/>
          <w:szCs w:val="22"/>
        </w:rPr>
        <w:t>附录D</w:t>
      </w:r>
      <w:r>
        <w:rPr>
          <w:szCs w:val="22"/>
        </w:rPr>
        <w:t>中《电气参数编码表》。</w:t>
      </w:r>
    </w:p>
    <w:p>
      <w:pPr>
        <w:pStyle w:val="145"/>
        <w:numPr>
          <w:ilvl w:val="3"/>
          <w:numId w:val="0"/>
        </w:numPr>
      </w:pPr>
      <w:r>
        <w:rPr>
          <w:rFonts w:hint="eastAsia"/>
        </w:rPr>
        <w:t>6.3.2.2治理设施编码规则</w:t>
      </w:r>
    </w:p>
    <w:p>
      <w:pPr>
        <w:pStyle w:val="68"/>
        <w:numPr>
          <w:ilvl w:val="0"/>
          <w:numId w:val="0"/>
        </w:numPr>
        <w:jc w:val="center"/>
        <w:rPr>
          <w:rFonts w:ascii="Times New Roman"/>
        </w:rPr>
      </w:pPr>
      <w:r>
        <w:object>
          <v:shape id="_x0000_i1026" o:spt="75" type="#_x0000_t75" style="height:222pt;width:398.25pt;" o:ole="t" filled="f" o:preferrelative="t" stroked="f" coordsize="21600,21600">
            <v:path/>
            <v:fill on="f" focussize="0,0"/>
            <v:stroke on="f" joinstyle="miter"/>
            <v:imagedata r:id="rId7" o:title=""/>
            <o:lock v:ext="edit" aspectratio="t"/>
            <w10:wrap type="none"/>
            <w10:anchorlock/>
          </v:shape>
          <o:OLEObject Type="Embed" ProgID="Visio.Drawing.15" ShapeID="_x0000_i1026" DrawAspect="Content" ObjectID="_1468075726">
            <o:LockedField>false</o:LockedField>
          </o:OLEObject>
        </w:object>
      </w:r>
    </w:p>
    <w:p>
      <w:pPr>
        <w:pStyle w:val="68"/>
        <w:ind w:firstLine="420" w:firstLineChars="200"/>
        <w:jc w:val="center"/>
        <w:rPr>
          <w:szCs w:val="22"/>
        </w:rPr>
      </w:pPr>
      <w:r>
        <w:rPr>
          <w:rFonts w:hint="eastAsia"/>
          <w:szCs w:val="22"/>
        </w:rPr>
        <w:t xml:space="preserve">图3  </w:t>
      </w:r>
      <w:r>
        <w:rPr>
          <w:rFonts w:hint="eastAsia"/>
        </w:rPr>
        <w:t>治理设施编码规则示意图</w:t>
      </w:r>
    </w:p>
    <w:p>
      <w:pPr>
        <w:pStyle w:val="68"/>
        <w:numPr>
          <w:ilvl w:val="0"/>
          <w:numId w:val="0"/>
        </w:numPr>
        <w:rPr>
          <w:szCs w:val="22"/>
        </w:rPr>
      </w:pPr>
    </w:p>
    <w:p>
      <w:pPr>
        <w:pStyle w:val="68"/>
        <w:ind w:firstLine="420" w:firstLineChars="200"/>
        <w:rPr>
          <w:szCs w:val="22"/>
        </w:rPr>
      </w:pPr>
      <w:r>
        <w:rPr>
          <w:rFonts w:hint="eastAsia"/>
          <w:szCs w:val="22"/>
        </w:rPr>
        <w:t>编码分四层，采用数字和字母表示（0</w:t>
      </w:r>
      <w:r>
        <w:rPr>
          <w:szCs w:val="22"/>
        </w:rPr>
        <w:t>-9、a-z</w:t>
      </w:r>
      <w:r>
        <w:rPr>
          <w:rFonts w:hint="eastAsia"/>
          <w:szCs w:val="22"/>
        </w:rPr>
        <w:t>、</w:t>
      </w:r>
      <w:r>
        <w:rPr>
          <w:szCs w:val="22"/>
        </w:rPr>
        <w:t>A</w:t>
      </w:r>
      <w:r>
        <w:rPr>
          <w:rFonts w:hint="eastAsia"/>
          <w:szCs w:val="22"/>
        </w:rPr>
        <w:t>-Z），区分大小写。</w:t>
      </w:r>
    </w:p>
    <w:p>
      <w:pPr>
        <w:pStyle w:val="68"/>
        <w:ind w:firstLine="420" w:firstLineChars="200"/>
        <w:rPr>
          <w:szCs w:val="22"/>
        </w:rPr>
      </w:pPr>
      <w:r>
        <w:rPr>
          <w:szCs w:val="22"/>
        </w:rPr>
        <w:t>第一层：</w:t>
      </w:r>
      <w:r>
        <w:rPr>
          <w:rFonts w:hint="eastAsia"/>
          <w:szCs w:val="22"/>
        </w:rPr>
        <w:t>治污</w:t>
      </w:r>
      <w:r>
        <w:rPr>
          <w:szCs w:val="22"/>
        </w:rPr>
        <w:t>工艺</w:t>
      </w:r>
      <w:r>
        <w:rPr>
          <w:rFonts w:hint="eastAsia"/>
          <w:szCs w:val="22"/>
        </w:rPr>
        <w:t>类型编码</w:t>
      </w:r>
      <w:r>
        <w:rPr>
          <w:szCs w:val="22"/>
        </w:rPr>
        <w:t>；表示</w:t>
      </w:r>
      <w:r>
        <w:rPr>
          <w:rFonts w:hint="eastAsia"/>
          <w:szCs w:val="22"/>
        </w:rPr>
        <w:t>污染</w:t>
      </w:r>
      <w:r>
        <w:rPr>
          <w:szCs w:val="22"/>
        </w:rPr>
        <w:t>治理设施工艺</w:t>
      </w:r>
      <w:r>
        <w:rPr>
          <w:rFonts w:hint="eastAsia"/>
          <w:szCs w:val="22"/>
        </w:rPr>
        <w:t>类型</w:t>
      </w:r>
      <w:r>
        <w:rPr>
          <w:szCs w:val="22"/>
        </w:rPr>
        <w:t>，采用</w:t>
      </w:r>
      <w:r>
        <w:rPr>
          <w:rFonts w:hint="eastAsia"/>
          <w:szCs w:val="22"/>
        </w:rPr>
        <w:t>2</w:t>
      </w:r>
      <w:r>
        <w:rPr>
          <w:szCs w:val="22"/>
        </w:rPr>
        <w:t xml:space="preserve"> 位阿拉伯数字或字母表示</w:t>
      </w:r>
      <w:r>
        <w:rPr>
          <w:rFonts w:hint="eastAsia"/>
          <w:szCs w:val="22"/>
        </w:rPr>
        <w:t>，</w:t>
      </w:r>
      <w:r>
        <w:rPr>
          <w:szCs w:val="22"/>
        </w:rPr>
        <w:t>其中第一位为</w:t>
      </w:r>
      <w:r>
        <w:rPr>
          <w:rFonts w:hint="eastAsia"/>
          <w:szCs w:val="22"/>
        </w:rPr>
        <w:t>数字1-9；</w:t>
      </w:r>
    </w:p>
    <w:p>
      <w:pPr>
        <w:pStyle w:val="68"/>
        <w:ind w:firstLine="420" w:firstLineChars="200"/>
        <w:rPr>
          <w:szCs w:val="22"/>
        </w:rPr>
      </w:pPr>
      <w:r>
        <w:rPr>
          <w:rFonts w:hint="eastAsia"/>
          <w:szCs w:val="22"/>
        </w:rPr>
        <w:t>第二层：治污工艺序号；</w:t>
      </w:r>
      <w:r>
        <w:rPr>
          <w:szCs w:val="22"/>
        </w:rPr>
        <w:t>采用1 位阿拉伯数字或字母表示</w:t>
      </w:r>
      <w:r>
        <w:rPr>
          <w:rFonts w:hint="eastAsia"/>
          <w:szCs w:val="22"/>
        </w:rPr>
        <w:t>；</w:t>
      </w:r>
    </w:p>
    <w:p>
      <w:pPr>
        <w:pStyle w:val="68"/>
        <w:ind w:firstLine="420" w:firstLineChars="200"/>
        <w:rPr>
          <w:szCs w:val="22"/>
        </w:rPr>
      </w:pPr>
      <w:r>
        <w:rPr>
          <w:szCs w:val="22"/>
        </w:rPr>
        <w:t>第</w:t>
      </w:r>
      <w:r>
        <w:rPr>
          <w:rFonts w:hint="eastAsia"/>
          <w:szCs w:val="22"/>
        </w:rPr>
        <w:t>三</w:t>
      </w:r>
      <w:r>
        <w:rPr>
          <w:szCs w:val="22"/>
        </w:rPr>
        <w:t>层：设备类型</w:t>
      </w:r>
      <w:r>
        <w:rPr>
          <w:rFonts w:hint="eastAsia"/>
          <w:szCs w:val="22"/>
        </w:rPr>
        <w:t>编码；</w:t>
      </w:r>
      <w:r>
        <w:rPr>
          <w:szCs w:val="22"/>
        </w:rPr>
        <w:t>采用</w:t>
      </w:r>
      <w:r>
        <w:rPr>
          <w:rFonts w:hint="eastAsia"/>
          <w:szCs w:val="22"/>
        </w:rPr>
        <w:t>2</w:t>
      </w:r>
      <w:r>
        <w:rPr>
          <w:szCs w:val="22"/>
        </w:rPr>
        <w:t xml:space="preserve"> 位阿拉伯数字或字母表示</w:t>
      </w:r>
      <w:r>
        <w:rPr>
          <w:rFonts w:hint="eastAsia"/>
          <w:szCs w:val="22"/>
        </w:rPr>
        <w:t>；</w:t>
      </w:r>
    </w:p>
    <w:p>
      <w:pPr>
        <w:pStyle w:val="68"/>
        <w:ind w:firstLine="420" w:firstLineChars="200"/>
        <w:rPr>
          <w:szCs w:val="22"/>
        </w:rPr>
      </w:pPr>
      <w:r>
        <w:rPr>
          <w:szCs w:val="22"/>
        </w:rPr>
        <w:t>第</w:t>
      </w:r>
      <w:r>
        <w:rPr>
          <w:rFonts w:hint="eastAsia"/>
          <w:szCs w:val="22"/>
        </w:rPr>
        <w:t>四</w:t>
      </w:r>
      <w:r>
        <w:rPr>
          <w:szCs w:val="22"/>
        </w:rPr>
        <w:t>层：设备序号，采用1 位阿拉伯数字或字母表示</w:t>
      </w:r>
      <w:r>
        <w:rPr>
          <w:rFonts w:hint="eastAsia"/>
          <w:szCs w:val="22"/>
        </w:rPr>
        <w:t>；</w:t>
      </w:r>
    </w:p>
    <w:p>
      <w:pPr>
        <w:pStyle w:val="68"/>
        <w:numPr>
          <w:ilvl w:val="0"/>
          <w:numId w:val="0"/>
        </w:numPr>
        <w:ind w:firstLine="420" w:firstLineChars="200"/>
        <w:rPr>
          <w:szCs w:val="22"/>
        </w:rPr>
      </w:pPr>
      <w:r>
        <w:rPr>
          <w:rFonts w:hint="eastAsia"/>
          <w:szCs w:val="22"/>
        </w:rPr>
        <w:t>在设施编码后通过</w:t>
      </w:r>
      <w:r>
        <w:rPr>
          <w:szCs w:val="22"/>
        </w:rPr>
        <w:t>附加码表示</w:t>
      </w:r>
      <w:r>
        <w:rPr>
          <w:rFonts w:hint="eastAsia"/>
          <w:szCs w:val="22"/>
        </w:rPr>
        <w:t>电气参数，</w:t>
      </w:r>
      <w:r>
        <w:rPr>
          <w:szCs w:val="22"/>
        </w:rPr>
        <w:t>采用符号“-”</w:t>
      </w:r>
      <w:r>
        <w:rPr>
          <w:rFonts w:hint="eastAsia"/>
          <w:szCs w:val="22"/>
        </w:rPr>
        <w:t>（减号，ASC码为45）</w:t>
      </w:r>
      <w:r>
        <w:rPr>
          <w:szCs w:val="22"/>
        </w:rPr>
        <w:t>进行分隔</w:t>
      </w:r>
      <w:r>
        <w:rPr>
          <w:rFonts w:hint="eastAsia"/>
          <w:szCs w:val="22"/>
        </w:rPr>
        <w:t>；电气参数编码</w:t>
      </w:r>
      <w:r>
        <w:rPr>
          <w:szCs w:val="22"/>
        </w:rPr>
        <w:t>由数字或者字母组成，具体编码参见</w:t>
      </w:r>
      <w:r>
        <w:rPr>
          <w:rFonts w:hint="eastAsia"/>
          <w:szCs w:val="22"/>
        </w:rPr>
        <w:t>附录D</w:t>
      </w:r>
      <w:r>
        <w:rPr>
          <w:szCs w:val="22"/>
        </w:rPr>
        <w:t>中《电气参数编码表》。</w:t>
      </w:r>
    </w:p>
    <w:p>
      <w:pPr>
        <w:pStyle w:val="145"/>
        <w:numPr>
          <w:ilvl w:val="3"/>
          <w:numId w:val="0"/>
        </w:numPr>
      </w:pPr>
      <w:r>
        <w:rPr>
          <w:rFonts w:hint="eastAsia"/>
        </w:rPr>
        <w:t>6.3.2.3总线监测点位编码规则</w:t>
      </w:r>
    </w:p>
    <w:p>
      <w:pPr>
        <w:pStyle w:val="68"/>
        <w:ind w:firstLine="420" w:firstLineChars="200"/>
        <w:rPr>
          <w:szCs w:val="22"/>
        </w:rPr>
      </w:pPr>
      <w:r>
        <w:rPr>
          <w:rFonts w:hint="eastAsia"/>
          <w:szCs w:val="22"/>
        </w:rPr>
        <w:t>总线监测点位反映排污单位用电总体情况，以及点位间汇总关系。排污单位总体用电情况为必测点位。</w:t>
      </w:r>
    </w:p>
    <w:p>
      <w:pPr>
        <w:pStyle w:val="68"/>
        <w:ind w:firstLine="420" w:firstLineChars="200"/>
        <w:rPr>
          <w:szCs w:val="22"/>
        </w:rPr>
      </w:pPr>
      <w:r>
        <w:rPr>
          <w:szCs w:val="22"/>
        </w:rPr>
        <w:t>编码分</w:t>
      </w:r>
      <w:r>
        <w:rPr>
          <w:rFonts w:hint="eastAsia"/>
          <w:szCs w:val="22"/>
        </w:rPr>
        <w:t>三</w:t>
      </w:r>
      <w:r>
        <w:rPr>
          <w:szCs w:val="22"/>
        </w:rPr>
        <w:t>层</w:t>
      </w:r>
      <w:r>
        <w:rPr>
          <w:rFonts w:hint="eastAsia"/>
          <w:szCs w:val="22"/>
        </w:rPr>
        <w:t>，</w:t>
      </w:r>
      <w:r>
        <w:rPr>
          <w:szCs w:val="22"/>
        </w:rPr>
        <w:t>用数字</w:t>
      </w:r>
      <w:r>
        <w:rPr>
          <w:rFonts w:hint="eastAsia"/>
          <w:szCs w:val="22"/>
        </w:rPr>
        <w:t>0-9</w:t>
      </w:r>
      <w:r>
        <w:rPr>
          <w:szCs w:val="22"/>
        </w:rPr>
        <w:t>或字母</w:t>
      </w:r>
      <w:r>
        <w:rPr>
          <w:rFonts w:hint="eastAsia"/>
          <w:szCs w:val="22"/>
        </w:rPr>
        <w:t>组成。</w:t>
      </w:r>
    </w:p>
    <w:p>
      <w:pPr>
        <w:pStyle w:val="68"/>
        <w:ind w:firstLine="420" w:firstLineChars="200"/>
        <w:rPr>
          <w:szCs w:val="22"/>
        </w:rPr>
      </w:pPr>
      <w:r>
        <w:rPr>
          <w:rFonts w:hint="eastAsia"/>
          <w:szCs w:val="22"/>
        </w:rPr>
        <w:t>第一层：数据类型码，采用1位数字表示，1表示总线直采，2表示数据间接采集（经计算得出）；</w:t>
      </w:r>
    </w:p>
    <w:p>
      <w:pPr>
        <w:pStyle w:val="68"/>
        <w:ind w:firstLine="420" w:firstLineChars="200"/>
        <w:rPr>
          <w:szCs w:val="22"/>
        </w:rPr>
      </w:pPr>
      <w:r>
        <w:rPr>
          <w:rFonts w:hint="eastAsia"/>
          <w:szCs w:val="22"/>
        </w:rPr>
        <w:t>第二层：用电单元编码，采用两位数字表示，00表示排污单位总体；</w:t>
      </w:r>
    </w:p>
    <w:p>
      <w:pPr>
        <w:pStyle w:val="68"/>
        <w:ind w:firstLine="420" w:firstLineChars="200"/>
        <w:rPr>
          <w:szCs w:val="22"/>
        </w:rPr>
      </w:pPr>
      <w:r>
        <w:rPr>
          <w:szCs w:val="22"/>
        </w:rPr>
        <w:t>第三层</w:t>
      </w:r>
      <w:r>
        <w:rPr>
          <w:rFonts w:hint="eastAsia"/>
          <w:szCs w:val="22"/>
        </w:rPr>
        <w:t>：用电设施编码，采用三位数字表示，000表示用电单元总体。</w:t>
      </w:r>
    </w:p>
    <w:p>
      <w:pPr>
        <w:pStyle w:val="68"/>
        <w:ind w:firstLine="420" w:firstLineChars="200"/>
      </w:pPr>
      <w:r>
        <w:rPr>
          <w:rFonts w:hint="eastAsia"/>
          <w:szCs w:val="22"/>
        </w:rPr>
        <w:t>在</w:t>
      </w:r>
      <w:r>
        <w:rPr>
          <w:rFonts w:hint="eastAsia"/>
        </w:rPr>
        <w:t>总线监测点位</w:t>
      </w:r>
      <w:r>
        <w:rPr>
          <w:rFonts w:hint="eastAsia"/>
          <w:szCs w:val="22"/>
        </w:rPr>
        <w:t>后通过</w:t>
      </w:r>
      <w:r>
        <w:rPr>
          <w:szCs w:val="22"/>
        </w:rPr>
        <w:t>附加码表示</w:t>
      </w:r>
      <w:r>
        <w:rPr>
          <w:rFonts w:hint="eastAsia"/>
          <w:szCs w:val="22"/>
        </w:rPr>
        <w:t>电气参数，</w:t>
      </w:r>
      <w:r>
        <w:rPr>
          <w:szCs w:val="22"/>
        </w:rPr>
        <w:t>采用符号“-”</w:t>
      </w:r>
      <w:r>
        <w:rPr>
          <w:rFonts w:hint="eastAsia"/>
          <w:szCs w:val="22"/>
        </w:rPr>
        <w:t>（减号，ASC码为45）</w:t>
      </w:r>
      <w:r>
        <w:rPr>
          <w:szCs w:val="22"/>
        </w:rPr>
        <w:t>进行分隔</w:t>
      </w:r>
      <w:r>
        <w:rPr>
          <w:rFonts w:hint="eastAsia"/>
          <w:szCs w:val="22"/>
        </w:rPr>
        <w:t>；电气参数编码</w:t>
      </w:r>
      <w:r>
        <w:rPr>
          <w:szCs w:val="22"/>
        </w:rPr>
        <w:t>由数字或者字母组成，具体编码参见</w:t>
      </w:r>
      <w:r>
        <w:rPr>
          <w:rFonts w:hint="eastAsia"/>
          <w:szCs w:val="22"/>
        </w:rPr>
        <w:t>附录D</w:t>
      </w:r>
      <w:r>
        <w:rPr>
          <w:szCs w:val="22"/>
        </w:rPr>
        <w:t>中《电气参数编码表》。</w:t>
      </w:r>
    </w:p>
    <w:p>
      <w:pPr>
        <w:pStyle w:val="76"/>
        <w:spacing w:before="156" w:after="156"/>
        <w:rPr>
          <w:rFonts w:ascii="宋体" w:eastAsia="宋体"/>
        </w:rPr>
      </w:pPr>
      <w:r>
        <w:rPr>
          <w:rFonts w:hint="eastAsia" w:ascii="宋体" w:eastAsia="宋体"/>
        </w:rPr>
        <w:t>6.3.3现场端用电监管因子编码在线生成下载</w:t>
      </w:r>
    </w:p>
    <w:p>
      <w:pPr>
        <w:pStyle w:val="68"/>
        <w:ind w:firstLine="420" w:firstLineChars="200"/>
      </w:pPr>
      <w:r>
        <w:rPr>
          <w:rFonts w:hint="eastAsia"/>
        </w:rPr>
        <w:t>现场施工单位</w:t>
      </w:r>
      <w:r>
        <w:t>将《排污单位基</w:t>
      </w:r>
      <w:r>
        <w:rPr>
          <w:rFonts w:hint="eastAsia"/>
        </w:rPr>
        <w:t>本</w:t>
      </w:r>
      <w:r>
        <w:t>信息表</w:t>
      </w:r>
      <w:r>
        <w:rPr>
          <w:rFonts w:hint="eastAsia"/>
        </w:rPr>
        <w:t>》、《主要</w:t>
      </w:r>
      <w:r>
        <w:t>生产设施</w:t>
      </w:r>
      <w:r>
        <w:rPr>
          <w:rFonts w:hint="eastAsia"/>
        </w:rPr>
        <w:t>基本</w:t>
      </w:r>
      <w:r>
        <w:t>信息表》</w:t>
      </w:r>
      <w:r>
        <w:rPr>
          <w:rFonts w:hint="eastAsia"/>
        </w:rPr>
        <w:t>、《主要废气污染</w:t>
      </w:r>
      <w:r>
        <w:t>治理设施</w:t>
      </w:r>
      <w:r>
        <w:rPr>
          <w:rFonts w:hint="eastAsia"/>
        </w:rPr>
        <w:t>基本</w:t>
      </w:r>
      <w:r>
        <w:t>信息表》</w:t>
      </w:r>
      <w:r>
        <w:rPr>
          <w:rFonts w:hint="eastAsia"/>
        </w:rPr>
        <w:t>（参见</w:t>
      </w:r>
      <w:r>
        <w:rPr>
          <w:rFonts w:hint="eastAsia"/>
          <w:szCs w:val="22"/>
        </w:rPr>
        <w:t>附录C表1、表2、表3</w:t>
      </w:r>
      <w:r>
        <w:rPr>
          <w:rFonts w:hint="eastAsia"/>
        </w:rPr>
        <w:t>）</w:t>
      </w:r>
      <w:r>
        <w:t>在</w:t>
      </w:r>
      <w:r>
        <w:rPr>
          <w:rFonts w:hint="eastAsia"/>
        </w:rPr>
        <w:t>河南省生态环境厅污染治理设施用电监管平台</w:t>
      </w:r>
      <w:r>
        <w:t>备案后</w:t>
      </w:r>
      <w:r>
        <w:rPr>
          <w:rFonts w:hint="eastAsia"/>
        </w:rPr>
        <w:t>，自动生成规范统一的点位编码，供现场施工单位下载使用。</w:t>
      </w:r>
    </w:p>
    <w:p>
      <w:pPr>
        <w:pStyle w:val="76"/>
        <w:spacing w:before="156" w:after="156"/>
        <w:rPr>
          <w:rFonts w:ascii="宋体" w:eastAsia="宋体"/>
        </w:rPr>
      </w:pPr>
      <w:r>
        <w:rPr>
          <w:rFonts w:hint="eastAsia" w:ascii="宋体" w:eastAsia="宋体"/>
        </w:rPr>
        <w:t>6.3.4数据采集传输仪MN号、ST代码规则</w:t>
      </w:r>
    </w:p>
    <w:p>
      <w:pPr>
        <w:pStyle w:val="68"/>
        <w:ind w:firstLine="420" w:firstLineChars="200"/>
      </w:pPr>
      <w:r>
        <w:rPr>
          <w:rFonts w:hint="eastAsia"/>
        </w:rPr>
        <w:t>排污</w:t>
      </w:r>
      <w:r>
        <w:t>单位可根据需要</w:t>
      </w:r>
      <w:r>
        <w:rPr>
          <w:rFonts w:hint="eastAsia"/>
        </w:rPr>
        <w:t>采用一台或多台数据采集仪实现数据传输。</w:t>
      </w:r>
    </w:p>
    <w:p>
      <w:pPr>
        <w:pStyle w:val="68"/>
        <w:ind w:firstLine="420" w:firstLineChars="200"/>
      </w:pPr>
      <w:r>
        <w:rPr>
          <w:rFonts w:hint="eastAsia"/>
        </w:rPr>
        <w:t>用电监管系统代码ST设置为80。</w:t>
      </w:r>
    </w:p>
    <w:p>
      <w:pPr>
        <w:pStyle w:val="72"/>
        <w:numPr>
          <w:ilvl w:val="1"/>
          <w:numId w:val="0"/>
        </w:numPr>
        <w:spacing w:before="156" w:after="156"/>
      </w:pPr>
      <w:bookmarkStart w:id="19" w:name="_Toc5172486"/>
      <w:r>
        <w:rPr>
          <w:rFonts w:hint="eastAsia"/>
        </w:rPr>
        <w:t>6.4系统时钟计时误差</w:t>
      </w:r>
      <w:bookmarkEnd w:id="19"/>
    </w:p>
    <w:p>
      <w:pPr>
        <w:pStyle w:val="68"/>
        <w:ind w:firstLine="420" w:firstLineChars="200"/>
      </w:pPr>
      <w:r>
        <w:t>系统时钟时间控制48小时内误差不超过±0.5%。</w:t>
      </w:r>
    </w:p>
    <w:p>
      <w:pPr>
        <w:pStyle w:val="75"/>
        <w:spacing w:before="312" w:after="312"/>
        <w:rPr>
          <w:szCs w:val="22"/>
        </w:rPr>
      </w:pPr>
      <w:bookmarkStart w:id="20" w:name="_Toc5172487"/>
      <w:r>
        <w:rPr>
          <w:rFonts w:hint="eastAsia"/>
          <w:szCs w:val="22"/>
        </w:rPr>
        <w:t>7 污染源运行状况的预警</w:t>
      </w:r>
      <w:bookmarkEnd w:id="20"/>
    </w:p>
    <w:p>
      <w:pPr>
        <w:pStyle w:val="68"/>
        <w:ind w:firstLine="420" w:firstLineChars="200"/>
      </w:pPr>
      <w:r>
        <w:t>运用PEMS 采集</w:t>
      </w:r>
      <w:r>
        <w:rPr>
          <w:rFonts w:hint="eastAsia"/>
        </w:rPr>
        <w:t>的污染源生产和</w:t>
      </w:r>
      <w:r>
        <w:t>治</w:t>
      </w:r>
      <w:r>
        <w:rPr>
          <w:rFonts w:hint="eastAsia"/>
        </w:rPr>
        <w:t>污状态数据，采用经验模型评估和人工审核相结合的方法，对污染源运行状态和异常情况进行预警</w:t>
      </w:r>
      <w:r>
        <w:t>。相关电气计算公式见</w:t>
      </w:r>
      <w:r>
        <w:rPr>
          <w:rFonts w:hint="eastAsia"/>
        </w:rPr>
        <w:t>附录F</w:t>
      </w:r>
      <w:r>
        <w:t>。</w:t>
      </w:r>
    </w:p>
    <w:p>
      <w:pPr>
        <w:pStyle w:val="72"/>
        <w:numPr>
          <w:ilvl w:val="1"/>
          <w:numId w:val="0"/>
        </w:numPr>
        <w:spacing w:before="156" w:after="156"/>
      </w:pPr>
      <w:bookmarkStart w:id="21" w:name="_Toc5172488"/>
      <w:r>
        <w:rPr>
          <w:rFonts w:hint="eastAsia"/>
        </w:rPr>
        <w:t>7.1</w:t>
      </w:r>
      <w:r>
        <w:t>治污设施未正常运行</w:t>
      </w:r>
      <w:bookmarkEnd w:id="21"/>
    </w:p>
    <w:p>
      <w:pPr>
        <w:pStyle w:val="68"/>
        <w:ind w:firstLine="420" w:firstLineChars="200"/>
      </w:pPr>
      <w:r>
        <w:t>生产设施的实际功率在正常生产五日平均值20%上下范围内，治污设施的实际功率低于额定功率的10%或正常治污五日平均值20%以下</w:t>
      </w:r>
      <w:r>
        <w:rPr>
          <w:rFonts w:hint="eastAsia"/>
        </w:rPr>
        <w:t>。</w:t>
      </w:r>
    </w:p>
    <w:p>
      <w:pPr>
        <w:pStyle w:val="72"/>
        <w:numPr>
          <w:ilvl w:val="1"/>
          <w:numId w:val="0"/>
        </w:numPr>
        <w:spacing w:before="156" w:after="156"/>
      </w:pPr>
      <w:bookmarkStart w:id="22" w:name="_Toc5172489"/>
      <w:r>
        <w:rPr>
          <w:rFonts w:hint="eastAsia"/>
        </w:rPr>
        <w:t>7.2污染源未按规定停产</w:t>
      </w:r>
      <w:bookmarkEnd w:id="22"/>
    </w:p>
    <w:p>
      <w:pPr>
        <w:pStyle w:val="68"/>
        <w:ind w:firstLine="420" w:firstLineChars="200"/>
      </w:pPr>
      <w:r>
        <w:t>污染源所有的应停产设备的</w:t>
      </w:r>
      <w:r>
        <w:rPr>
          <w:rFonts w:hint="eastAsia"/>
        </w:rPr>
        <w:t>工况</w:t>
      </w:r>
      <w:r>
        <w:t>大于</w:t>
      </w:r>
      <w:r>
        <w:rPr>
          <w:rFonts w:hint="eastAsia"/>
        </w:rPr>
        <w:t>停产限值</w:t>
      </w:r>
      <w:r>
        <w:t>时，判断为污染源未按照要求实施停产。</w:t>
      </w:r>
    </w:p>
    <w:p>
      <w:pPr>
        <w:pStyle w:val="68"/>
        <w:ind w:firstLine="420" w:firstLineChars="200"/>
      </w:pPr>
      <w:r>
        <w:rPr>
          <w:rFonts w:hint="eastAsia"/>
        </w:rPr>
        <w:t>（1）</w:t>
      </w:r>
      <w:r>
        <w:t>功率判别法：</w:t>
      </w:r>
      <w:r>
        <w:rPr>
          <w:rFonts w:hint="eastAsia"/>
        </w:rPr>
        <w:t>（</w:t>
      </w:r>
      <w:r>
        <w:t>停产设备总有功功率当前值&gt;</w:t>
      </w:r>
      <w:r>
        <w:rPr>
          <w:rFonts w:hint="eastAsia"/>
        </w:rPr>
        <w:t>停产限值）</w:t>
      </w:r>
      <w:r>
        <w:t>并且（持续时间&gt;大于门限时间）时，上报停产异常发生事件；</w:t>
      </w:r>
    </w:p>
    <w:p>
      <w:pPr>
        <w:pStyle w:val="68"/>
        <w:ind w:firstLine="420" w:firstLineChars="200"/>
      </w:pPr>
      <w:r>
        <w:rPr>
          <w:rFonts w:hint="eastAsia"/>
        </w:rPr>
        <w:t>（2）</w:t>
      </w:r>
      <w:r>
        <w:t>电量判别法：</w:t>
      </w:r>
      <w:r>
        <w:rPr>
          <w:rFonts w:hint="eastAsia"/>
        </w:rPr>
        <w:t>（</w:t>
      </w:r>
      <w:r>
        <w:t>停产设备总有功电量当前值&gt;</w:t>
      </w:r>
      <w:r>
        <w:rPr>
          <w:rFonts w:hint="eastAsia"/>
        </w:rPr>
        <w:t>停产限值）</w:t>
      </w:r>
      <w:r>
        <w:t>并且（持续时间&gt;大于门限时间）时，上报停产异常发生事件</w:t>
      </w:r>
      <w:r>
        <w:rPr>
          <w:rFonts w:hint="eastAsia"/>
        </w:rPr>
        <w:t>。</w:t>
      </w:r>
    </w:p>
    <w:p>
      <w:pPr>
        <w:pStyle w:val="72"/>
        <w:numPr>
          <w:ilvl w:val="1"/>
          <w:numId w:val="0"/>
        </w:numPr>
        <w:spacing w:before="156" w:after="156"/>
      </w:pPr>
      <w:bookmarkStart w:id="23" w:name="_Toc5172490"/>
      <w:r>
        <w:rPr>
          <w:rFonts w:hint="eastAsia"/>
        </w:rPr>
        <w:t>7.3污染源未按规定限产</w:t>
      </w:r>
      <w:bookmarkEnd w:id="23"/>
    </w:p>
    <w:p>
      <w:pPr>
        <w:pStyle w:val="68"/>
        <w:ind w:firstLine="420" w:firstLineChars="200"/>
      </w:pPr>
      <w:r>
        <w:t>选取限产设施前五日正常生产平均负荷（电量）作为基线负荷（电量），污染源所有限产设备的负荷（电量）在基线负荷（电量）的限产百分比之内，则判定达标，否则判断为不达标。</w:t>
      </w:r>
    </w:p>
    <w:p>
      <w:pPr>
        <w:pStyle w:val="68"/>
        <w:ind w:firstLine="420" w:firstLineChars="200"/>
      </w:pPr>
      <w:r>
        <w:t>电量判别法：</w:t>
      </w:r>
      <w:r>
        <w:rPr>
          <w:rFonts w:hint="eastAsia"/>
        </w:rPr>
        <w:t>（</w:t>
      </w:r>
      <w:r>
        <w:t>总有功电量当前值&gt;基线负荷*限产系数</w:t>
      </w:r>
      <w:r>
        <w:rPr>
          <w:rFonts w:hint="eastAsia"/>
        </w:rPr>
        <w:t>）</w:t>
      </w:r>
      <w:r>
        <w:t>并且（持续时间&gt;大于门限时间）时，上报停限产异常发生事件</w:t>
      </w:r>
      <w:r>
        <w:rPr>
          <w:rFonts w:hint="eastAsia"/>
        </w:rPr>
        <w:t>。</w:t>
      </w:r>
    </w:p>
    <w:p>
      <w:pPr>
        <w:pStyle w:val="72"/>
        <w:numPr>
          <w:ilvl w:val="1"/>
          <w:numId w:val="0"/>
        </w:numPr>
        <w:spacing w:before="156" w:after="156"/>
      </w:pPr>
      <w:bookmarkStart w:id="24" w:name="_Toc5172491"/>
      <w:r>
        <w:rPr>
          <w:rFonts w:hint="eastAsia"/>
        </w:rPr>
        <w:t>7.4污染源未按规定错峰生产</w:t>
      </w:r>
      <w:bookmarkEnd w:id="24"/>
    </w:p>
    <w:p>
      <w:pPr>
        <w:pStyle w:val="68"/>
        <w:ind w:firstLine="420" w:firstLineChars="200"/>
      </w:pPr>
      <w:r>
        <w:t>选取</w:t>
      </w:r>
      <w:r>
        <w:rPr>
          <w:rFonts w:hint="eastAsia"/>
        </w:rPr>
        <w:t>错峰生产</w:t>
      </w:r>
      <w:r>
        <w:t>设施前五日</w:t>
      </w:r>
      <w:r>
        <w:rPr>
          <w:rFonts w:hint="eastAsia"/>
        </w:rPr>
        <w:t>错峰时间段内</w:t>
      </w:r>
      <w:r>
        <w:t>正常生产平均负荷（电量）作为基线负荷（电量），</w:t>
      </w:r>
      <w:r>
        <w:rPr>
          <w:rFonts w:hint="eastAsia"/>
        </w:rPr>
        <w:t>根据</w:t>
      </w:r>
      <w:r>
        <w:t>本技术指南</w:t>
      </w:r>
      <w:r>
        <w:rPr>
          <w:rFonts w:hint="eastAsia"/>
        </w:rPr>
        <w:t>7.2、7.3章节停产/限产标准判断是否按规定错峰生产</w:t>
      </w:r>
      <w:r>
        <w:t>。</w:t>
      </w:r>
    </w:p>
    <w:p>
      <w:pPr>
        <w:pStyle w:val="72"/>
        <w:numPr>
          <w:ilvl w:val="1"/>
          <w:numId w:val="0"/>
        </w:numPr>
        <w:spacing w:before="156" w:after="156"/>
      </w:pPr>
      <w:bookmarkStart w:id="25" w:name="_Toc5172492"/>
      <w:r>
        <w:rPr>
          <w:rFonts w:hint="eastAsia"/>
        </w:rPr>
        <w:t>7.5运行状态最终</w:t>
      </w:r>
      <w:bookmarkEnd w:id="25"/>
      <w:r>
        <w:rPr>
          <w:rFonts w:hint="eastAsia"/>
        </w:rPr>
        <w:t>判断</w:t>
      </w:r>
    </w:p>
    <w:p>
      <w:pPr>
        <w:pStyle w:val="68"/>
        <w:ind w:firstLine="420" w:firstLineChars="200"/>
      </w:pPr>
      <w:r>
        <w:t xml:space="preserve">运用PEMS </w:t>
      </w:r>
      <w:r>
        <w:rPr>
          <w:rFonts w:hint="eastAsia"/>
        </w:rPr>
        <w:t>监测和判别结果，通过现场检查和人工分析审核等方式，对污染源运行状态和异常情况进行最终判断。</w:t>
      </w:r>
    </w:p>
    <w:p>
      <w:pPr>
        <w:pStyle w:val="75"/>
        <w:spacing w:before="312" w:after="312"/>
        <w:rPr>
          <w:szCs w:val="22"/>
        </w:rPr>
      </w:pPr>
      <w:bookmarkStart w:id="26" w:name="_Toc5172493"/>
      <w:r>
        <w:rPr>
          <w:rFonts w:hint="eastAsia"/>
          <w:szCs w:val="22"/>
        </w:rPr>
        <w:t>8 技术验收</w:t>
      </w:r>
      <w:bookmarkEnd w:id="26"/>
    </w:p>
    <w:p>
      <w:pPr>
        <w:pStyle w:val="15"/>
        <w:ind w:left="0" w:firstLine="420" w:firstLineChars="200"/>
        <w:rPr>
          <w:lang w:eastAsia="zh-CN"/>
        </w:rPr>
      </w:pPr>
      <w:r>
        <w:rPr>
          <w:rFonts w:hint="eastAsia"/>
          <w:lang w:eastAsia="zh-CN"/>
        </w:rPr>
        <w:t>P</w:t>
      </w:r>
      <w:r>
        <w:rPr>
          <w:lang w:eastAsia="zh-CN"/>
        </w:rPr>
        <w:t>EMS</w:t>
      </w:r>
      <w:r>
        <w:rPr>
          <w:rFonts w:hint="eastAsia"/>
          <w:lang w:eastAsia="zh-CN"/>
        </w:rPr>
        <w:t>施工完毕应</w:t>
      </w:r>
      <w:r>
        <w:rPr>
          <w:lang w:eastAsia="zh-CN"/>
        </w:rPr>
        <w:t>由</w:t>
      </w:r>
      <w:r>
        <w:rPr>
          <w:rFonts w:hint="eastAsia"/>
          <w:lang w:eastAsia="zh-CN"/>
        </w:rPr>
        <w:t>排污单位</w:t>
      </w:r>
      <w:r>
        <w:rPr>
          <w:lang w:eastAsia="zh-CN"/>
        </w:rPr>
        <w:t>组织验收。验收过程包括</w:t>
      </w:r>
      <w:r>
        <w:rPr>
          <w:rFonts w:hint="eastAsia"/>
          <w:lang w:eastAsia="zh-CN"/>
        </w:rPr>
        <w:t>提出申请、</w:t>
      </w:r>
      <w:r>
        <w:rPr>
          <w:lang w:eastAsia="zh-CN"/>
        </w:rPr>
        <w:t>现场检查、现场测试、确认验收等环节。</w:t>
      </w:r>
      <w:r>
        <w:rPr>
          <w:rFonts w:hint="eastAsia"/>
          <w:lang w:eastAsia="zh-CN"/>
        </w:rPr>
        <w:t>验收合格后向施工单位提供验收报告。</w:t>
      </w:r>
    </w:p>
    <w:p>
      <w:pPr>
        <w:pStyle w:val="72"/>
        <w:numPr>
          <w:ilvl w:val="1"/>
          <w:numId w:val="0"/>
        </w:numPr>
        <w:spacing w:before="156" w:after="156"/>
      </w:pPr>
      <w:bookmarkStart w:id="27" w:name="_Toc5172494"/>
      <w:r>
        <w:rPr>
          <w:rFonts w:hint="eastAsia"/>
        </w:rPr>
        <w:t>8.1提出申请</w:t>
      </w:r>
      <w:bookmarkEnd w:id="27"/>
    </w:p>
    <w:p>
      <w:pPr>
        <w:pStyle w:val="15"/>
        <w:ind w:left="0" w:firstLine="420" w:firstLineChars="200"/>
        <w:rPr>
          <w:lang w:eastAsia="zh-CN"/>
        </w:rPr>
      </w:pPr>
      <w:r>
        <w:rPr>
          <w:rFonts w:hint="eastAsia"/>
          <w:lang w:eastAsia="zh-CN"/>
        </w:rPr>
        <w:t>施工完毕后，施工单位提出验收申请，并向排污单位提供以下书面材料：</w:t>
      </w:r>
    </w:p>
    <w:p>
      <w:pPr>
        <w:pStyle w:val="68"/>
        <w:ind w:firstLine="420" w:firstLineChars="200"/>
        <w:rPr>
          <w:szCs w:val="22"/>
        </w:rPr>
      </w:pPr>
      <w:r>
        <w:rPr>
          <w:rFonts w:hint="eastAsia"/>
          <w:szCs w:val="22"/>
        </w:rPr>
        <w:t>（1）验收申请书；</w:t>
      </w:r>
    </w:p>
    <w:p>
      <w:pPr>
        <w:pStyle w:val="68"/>
        <w:ind w:firstLine="420" w:firstLineChars="200"/>
        <w:rPr>
          <w:szCs w:val="22"/>
        </w:rPr>
      </w:pPr>
      <w:r>
        <w:rPr>
          <w:rFonts w:hint="eastAsia"/>
          <w:szCs w:val="22"/>
        </w:rPr>
        <w:t>（2）现场采用设备的</w:t>
      </w:r>
      <w:r>
        <w:rPr>
          <w:szCs w:val="22"/>
        </w:rPr>
        <w:t>检测合格证书</w:t>
      </w:r>
      <w:r>
        <w:rPr>
          <w:rFonts w:hint="eastAsia"/>
          <w:szCs w:val="22"/>
        </w:rPr>
        <w:t>；</w:t>
      </w:r>
    </w:p>
    <w:p>
      <w:pPr>
        <w:pStyle w:val="68"/>
        <w:ind w:firstLine="420" w:firstLineChars="200"/>
        <w:rPr>
          <w:szCs w:val="22"/>
        </w:rPr>
      </w:pPr>
      <w:r>
        <w:rPr>
          <w:rFonts w:hint="eastAsia"/>
          <w:szCs w:val="22"/>
        </w:rPr>
        <w:t>（4）用电监管方案；</w:t>
      </w:r>
    </w:p>
    <w:p>
      <w:pPr>
        <w:pStyle w:val="68"/>
        <w:ind w:firstLine="420" w:firstLineChars="200"/>
        <w:rPr>
          <w:szCs w:val="22"/>
        </w:rPr>
      </w:pPr>
      <w:r>
        <w:rPr>
          <w:rFonts w:hint="eastAsia"/>
          <w:szCs w:val="22"/>
        </w:rPr>
        <w:t>（5）</w:t>
      </w:r>
      <w:r>
        <w:rPr>
          <w:szCs w:val="22"/>
        </w:rPr>
        <w:t>信息采集与传输</w:t>
      </w:r>
      <w:r>
        <w:rPr>
          <w:rFonts w:hint="eastAsia"/>
          <w:szCs w:val="22"/>
        </w:rPr>
        <w:t>测试样例；</w:t>
      </w:r>
    </w:p>
    <w:p>
      <w:pPr>
        <w:pStyle w:val="68"/>
        <w:ind w:firstLine="420" w:firstLineChars="200"/>
      </w:pPr>
      <w:r>
        <w:rPr>
          <w:rFonts w:hint="eastAsia"/>
          <w:szCs w:val="22"/>
        </w:rPr>
        <w:t>（6）系</w:t>
      </w:r>
      <w:r>
        <w:rPr>
          <w:rFonts w:hint="eastAsia"/>
        </w:rPr>
        <w:t>统</w:t>
      </w:r>
      <w:r>
        <w:rPr>
          <w:rFonts w:hint="eastAsia"/>
          <w:szCs w:val="22"/>
        </w:rPr>
        <w:t>试运行</w:t>
      </w:r>
      <w:r>
        <w:rPr>
          <w:rFonts w:hint="eastAsia"/>
        </w:rPr>
        <w:t>报告。</w:t>
      </w:r>
    </w:p>
    <w:p>
      <w:pPr>
        <w:pStyle w:val="72"/>
        <w:numPr>
          <w:ilvl w:val="1"/>
          <w:numId w:val="0"/>
        </w:numPr>
        <w:spacing w:before="156" w:after="156"/>
      </w:pPr>
      <w:bookmarkStart w:id="28" w:name="_Toc5172495"/>
      <w:r>
        <w:rPr>
          <w:rFonts w:hint="eastAsia"/>
        </w:rPr>
        <w:t>8.2现场检查</w:t>
      </w:r>
      <w:bookmarkEnd w:id="28"/>
    </w:p>
    <w:p>
      <w:pPr>
        <w:pStyle w:val="68"/>
        <w:ind w:firstLine="420" w:firstLineChars="200"/>
      </w:pPr>
      <w:r>
        <w:t>排污单位对</w:t>
      </w:r>
      <w:r>
        <w:rPr>
          <w:rFonts w:hint="eastAsia"/>
        </w:rPr>
        <w:t>P</w:t>
      </w:r>
      <w:r>
        <w:t>EMS</w:t>
      </w:r>
      <w:r>
        <w:rPr>
          <w:rFonts w:hint="eastAsia"/>
        </w:rPr>
        <w:t>进行</w:t>
      </w:r>
      <w:r>
        <w:t>现场检查，主要检查设备性能、</w:t>
      </w:r>
      <w:r>
        <w:rPr>
          <w:rFonts w:hint="eastAsia"/>
        </w:rPr>
        <w:t>现场</w:t>
      </w:r>
      <w:r>
        <w:t>安装</w:t>
      </w:r>
      <w:r>
        <w:rPr>
          <w:rFonts w:hint="eastAsia"/>
        </w:rPr>
        <w:t>规范性</w:t>
      </w:r>
      <w:r>
        <w:t>、设备运行稳定性</w:t>
      </w:r>
      <w:r>
        <w:rPr>
          <w:rFonts w:hint="eastAsia"/>
        </w:rPr>
        <w:t>、系统功能全面性、系统安全性</w:t>
      </w:r>
      <w:r>
        <w:t>等。具体要求如下</w:t>
      </w:r>
      <w:r>
        <w:rPr>
          <w:rFonts w:hint="eastAsia"/>
        </w:rPr>
        <w:t>：</w:t>
      </w:r>
    </w:p>
    <w:p>
      <w:pPr>
        <w:pStyle w:val="68"/>
        <w:ind w:firstLine="420" w:firstLineChars="200"/>
        <w:rPr>
          <w:szCs w:val="22"/>
        </w:rPr>
      </w:pPr>
      <w:r>
        <w:rPr>
          <w:rFonts w:hint="eastAsia"/>
          <w:szCs w:val="22"/>
        </w:rPr>
        <w:t>（1）</w:t>
      </w:r>
      <w:r>
        <w:rPr>
          <w:szCs w:val="22"/>
        </w:rPr>
        <w:t>现场采用的设备须满足本技术指南5.1</w:t>
      </w:r>
      <w:r>
        <w:rPr>
          <w:rFonts w:hint="eastAsia"/>
          <w:szCs w:val="22"/>
        </w:rPr>
        <w:t>、</w:t>
      </w:r>
      <w:r>
        <w:rPr>
          <w:szCs w:val="22"/>
        </w:rPr>
        <w:t>5.2</w:t>
      </w:r>
      <w:r>
        <w:rPr>
          <w:rFonts w:hint="eastAsia"/>
          <w:szCs w:val="22"/>
        </w:rPr>
        <w:t>、6.1～6.4</w:t>
      </w:r>
      <w:r>
        <w:rPr>
          <w:szCs w:val="22"/>
        </w:rPr>
        <w:t>章节要求</w:t>
      </w:r>
      <w:r>
        <w:rPr>
          <w:rFonts w:hint="eastAsia"/>
          <w:szCs w:val="22"/>
        </w:rPr>
        <w:t>；</w:t>
      </w:r>
    </w:p>
    <w:p>
      <w:pPr>
        <w:pStyle w:val="68"/>
        <w:ind w:firstLine="420" w:firstLineChars="200"/>
        <w:rPr>
          <w:szCs w:val="22"/>
        </w:rPr>
      </w:pPr>
      <w:r>
        <w:rPr>
          <w:rFonts w:hint="eastAsia"/>
          <w:szCs w:val="22"/>
        </w:rPr>
        <w:t>（2）</w:t>
      </w:r>
      <w:r>
        <w:rPr>
          <w:szCs w:val="22"/>
        </w:rPr>
        <w:t>监测点</w:t>
      </w:r>
      <w:r>
        <w:rPr>
          <w:rFonts w:hint="eastAsia"/>
          <w:szCs w:val="22"/>
        </w:rPr>
        <w:t>布设及现场安装须</w:t>
      </w:r>
      <w:r>
        <w:rPr>
          <w:szCs w:val="22"/>
        </w:rPr>
        <w:t>符合</w:t>
      </w:r>
      <w:r>
        <w:rPr>
          <w:rFonts w:hint="eastAsia"/>
          <w:szCs w:val="22"/>
        </w:rPr>
        <w:t>本技术指南5.3章节要求；</w:t>
      </w:r>
    </w:p>
    <w:p>
      <w:pPr>
        <w:pStyle w:val="68"/>
        <w:ind w:firstLine="420" w:firstLineChars="200"/>
        <w:rPr>
          <w:szCs w:val="22"/>
        </w:rPr>
      </w:pPr>
      <w:r>
        <w:rPr>
          <w:rFonts w:hint="eastAsia"/>
          <w:szCs w:val="22"/>
        </w:rPr>
        <w:t>（3）</w:t>
      </w:r>
      <w:r>
        <w:rPr>
          <w:szCs w:val="22"/>
        </w:rPr>
        <w:t>信息采集与传输须满足本技术指南第6章</w:t>
      </w:r>
      <w:r>
        <w:rPr>
          <w:rFonts w:hint="eastAsia"/>
          <w:szCs w:val="22"/>
        </w:rPr>
        <w:t>节</w:t>
      </w:r>
      <w:r>
        <w:rPr>
          <w:szCs w:val="22"/>
        </w:rPr>
        <w:t>要求；</w:t>
      </w:r>
    </w:p>
    <w:p>
      <w:pPr>
        <w:pStyle w:val="68"/>
        <w:ind w:firstLine="420" w:firstLineChars="200"/>
        <w:rPr>
          <w:szCs w:val="22"/>
        </w:rPr>
      </w:pPr>
      <w:r>
        <w:rPr>
          <w:rFonts w:hint="eastAsia"/>
          <w:szCs w:val="22"/>
        </w:rPr>
        <w:t>（4）现场端应用软件须满足</w:t>
      </w:r>
      <w:r>
        <w:rPr>
          <w:szCs w:val="22"/>
        </w:rPr>
        <w:t>本技术指南第</w:t>
      </w:r>
      <w:r>
        <w:rPr>
          <w:rFonts w:hint="eastAsia"/>
          <w:szCs w:val="22"/>
        </w:rPr>
        <w:t>5.4</w:t>
      </w:r>
      <w:r>
        <w:rPr>
          <w:szCs w:val="22"/>
        </w:rPr>
        <w:t>章</w:t>
      </w:r>
      <w:r>
        <w:rPr>
          <w:rFonts w:hint="eastAsia"/>
          <w:szCs w:val="22"/>
        </w:rPr>
        <w:t>节</w:t>
      </w:r>
      <w:r>
        <w:rPr>
          <w:szCs w:val="22"/>
        </w:rPr>
        <w:t>要求</w:t>
      </w:r>
      <w:r>
        <w:rPr>
          <w:rFonts w:hint="eastAsia"/>
          <w:szCs w:val="22"/>
        </w:rPr>
        <w:t xml:space="preserve">； </w:t>
      </w:r>
    </w:p>
    <w:p>
      <w:pPr>
        <w:pStyle w:val="68"/>
        <w:ind w:firstLine="420" w:firstLineChars="200"/>
        <w:rPr>
          <w:szCs w:val="22"/>
        </w:rPr>
      </w:pPr>
      <w:r>
        <w:rPr>
          <w:rFonts w:hint="eastAsia"/>
          <w:szCs w:val="22"/>
        </w:rPr>
        <w:t>（5）系统运行稳定，提供系统试运行报告；</w:t>
      </w:r>
    </w:p>
    <w:p>
      <w:pPr>
        <w:pStyle w:val="68"/>
        <w:ind w:firstLine="420" w:firstLineChars="200"/>
        <w:rPr>
          <w:szCs w:val="22"/>
        </w:rPr>
      </w:pPr>
      <w:r>
        <w:rPr>
          <w:rFonts w:hint="eastAsia"/>
          <w:szCs w:val="22"/>
        </w:rPr>
        <w:t>（6）P</w:t>
      </w:r>
      <w:r>
        <w:rPr>
          <w:szCs w:val="22"/>
        </w:rPr>
        <w:t>EMS</w:t>
      </w:r>
      <w:r>
        <w:rPr>
          <w:rFonts w:hint="eastAsia"/>
          <w:szCs w:val="22"/>
        </w:rPr>
        <w:t>系统安全可靠，符合国家有关安全生产规范。</w:t>
      </w:r>
    </w:p>
    <w:p>
      <w:pPr>
        <w:pStyle w:val="72"/>
        <w:numPr>
          <w:ilvl w:val="1"/>
          <w:numId w:val="0"/>
        </w:numPr>
        <w:spacing w:before="156" w:after="156"/>
      </w:pPr>
      <w:bookmarkStart w:id="29" w:name="_Toc5172496"/>
      <w:r>
        <w:rPr>
          <w:rFonts w:hint="eastAsia"/>
        </w:rPr>
        <w:t>8.3现场测试</w:t>
      </w:r>
      <w:bookmarkEnd w:id="29"/>
    </w:p>
    <w:p>
      <w:pPr>
        <w:pStyle w:val="68"/>
        <w:ind w:firstLine="420" w:firstLineChars="200"/>
        <w:rPr>
          <w:szCs w:val="22"/>
        </w:rPr>
      </w:pPr>
      <w:r>
        <w:rPr>
          <w:szCs w:val="22"/>
        </w:rPr>
        <w:t>主要</w:t>
      </w:r>
      <w:r>
        <w:rPr>
          <w:rFonts w:hint="eastAsia"/>
          <w:szCs w:val="22"/>
        </w:rPr>
        <w:t>对P</w:t>
      </w:r>
      <w:r>
        <w:rPr>
          <w:szCs w:val="22"/>
        </w:rPr>
        <w:t>EMS</w:t>
      </w:r>
      <w:r>
        <w:rPr>
          <w:rFonts w:hint="eastAsia"/>
          <w:szCs w:val="22"/>
        </w:rPr>
        <w:t>功能进行现场测试</w:t>
      </w:r>
      <w:r>
        <w:rPr>
          <w:szCs w:val="22"/>
        </w:rPr>
        <w:t>。</w:t>
      </w:r>
      <w:r>
        <w:rPr>
          <w:rFonts w:hint="eastAsia"/>
          <w:szCs w:val="22"/>
        </w:rPr>
        <w:t>主要进行以下测试：</w:t>
      </w:r>
    </w:p>
    <w:p>
      <w:pPr>
        <w:pStyle w:val="68"/>
        <w:ind w:firstLine="420" w:firstLineChars="200"/>
        <w:rPr>
          <w:szCs w:val="22"/>
        </w:rPr>
      </w:pPr>
      <w:r>
        <w:rPr>
          <w:rFonts w:hint="eastAsia"/>
          <w:szCs w:val="22"/>
        </w:rPr>
        <w:t>（1）调整污染源生产设施或治理设施功率负荷，观察中心端平台数据传输时延、数据准确性；</w:t>
      </w:r>
    </w:p>
    <w:p>
      <w:pPr>
        <w:pStyle w:val="68"/>
        <w:ind w:firstLine="420" w:firstLineChars="200"/>
        <w:rPr>
          <w:szCs w:val="22"/>
        </w:rPr>
      </w:pPr>
      <w:r>
        <w:rPr>
          <w:rFonts w:hint="eastAsia"/>
          <w:szCs w:val="22"/>
        </w:rPr>
        <w:t>（2）对污染源生产设施或治理设施做停上电实验，观察中心端平台是否正确推送异常告警信息；</w:t>
      </w:r>
    </w:p>
    <w:p>
      <w:pPr>
        <w:pStyle w:val="68"/>
        <w:ind w:firstLine="420" w:firstLineChars="200"/>
        <w:rPr>
          <w:szCs w:val="22"/>
        </w:rPr>
      </w:pPr>
      <w:r>
        <w:rPr>
          <w:rFonts w:hint="eastAsia"/>
          <w:szCs w:val="22"/>
        </w:rPr>
        <w:t>（3）设置不同比例的错峰生产参数，观察中心端平台是否正确推送异常告警信息；</w:t>
      </w:r>
    </w:p>
    <w:p>
      <w:pPr>
        <w:pStyle w:val="68"/>
        <w:ind w:firstLine="420" w:firstLineChars="200"/>
        <w:rPr>
          <w:szCs w:val="22"/>
        </w:rPr>
      </w:pPr>
      <w:r>
        <w:rPr>
          <w:rFonts w:hint="eastAsia"/>
          <w:szCs w:val="22"/>
        </w:rPr>
        <w:t>（4）其他关于监测点与监测数据匹配关系的测试。</w:t>
      </w:r>
    </w:p>
    <w:p>
      <w:pPr>
        <w:pStyle w:val="72"/>
        <w:numPr>
          <w:ilvl w:val="1"/>
          <w:numId w:val="0"/>
        </w:numPr>
        <w:spacing w:before="156" w:after="156"/>
      </w:pPr>
      <w:bookmarkStart w:id="30" w:name="_Toc5172497"/>
      <w:r>
        <w:rPr>
          <w:rFonts w:hint="eastAsia"/>
        </w:rPr>
        <w:t>8.4确认验收</w:t>
      </w:r>
      <w:bookmarkEnd w:id="30"/>
    </w:p>
    <w:p>
      <w:pPr>
        <w:pStyle w:val="68"/>
        <w:ind w:firstLine="420" w:firstLineChars="200"/>
        <w:rPr>
          <w:szCs w:val="22"/>
        </w:rPr>
      </w:pPr>
      <w:r>
        <w:rPr>
          <w:szCs w:val="22"/>
        </w:rPr>
        <w:t>经现场检查、现场测试，具备以下条件后，由施工单位提出申请，</w:t>
      </w:r>
      <w:r>
        <w:rPr>
          <w:rFonts w:hint="eastAsia"/>
          <w:szCs w:val="22"/>
        </w:rPr>
        <w:t>排污</w:t>
      </w:r>
      <w:r>
        <w:rPr>
          <w:szCs w:val="22"/>
        </w:rPr>
        <w:t>单位组织实施验收</w:t>
      </w:r>
      <w:r>
        <w:rPr>
          <w:rFonts w:hint="eastAsia"/>
          <w:szCs w:val="22"/>
        </w:rPr>
        <w:t>：</w:t>
      </w:r>
    </w:p>
    <w:p>
      <w:pPr>
        <w:pStyle w:val="68"/>
        <w:ind w:firstLine="420" w:firstLineChars="200"/>
        <w:rPr>
          <w:szCs w:val="22"/>
        </w:rPr>
      </w:pPr>
      <w:r>
        <w:rPr>
          <w:rFonts w:hint="eastAsia"/>
          <w:szCs w:val="22"/>
        </w:rPr>
        <w:t>（1）施工单位提供产品已获取的</w:t>
      </w:r>
      <w:r>
        <w:rPr>
          <w:szCs w:val="22"/>
        </w:rPr>
        <w:t>权威部门检测合格</w:t>
      </w:r>
      <w:r>
        <w:rPr>
          <w:rFonts w:hint="eastAsia"/>
          <w:szCs w:val="22"/>
        </w:rPr>
        <w:t>证；</w:t>
      </w:r>
    </w:p>
    <w:p>
      <w:pPr>
        <w:pStyle w:val="68"/>
        <w:ind w:firstLine="420" w:firstLineChars="200"/>
        <w:rPr>
          <w:szCs w:val="22"/>
        </w:rPr>
      </w:pPr>
      <w:r>
        <w:rPr>
          <w:rFonts w:hint="eastAsia"/>
          <w:szCs w:val="22"/>
        </w:rPr>
        <w:t>（2）</w:t>
      </w:r>
      <w:r>
        <w:rPr>
          <w:szCs w:val="22"/>
        </w:rPr>
        <w:t>现场设备安装完毕，调试运行正常，经现场检查、现场测试系统运行正常，技术指标达到本技术指南相关章节要求</w:t>
      </w:r>
      <w:r>
        <w:rPr>
          <w:rFonts w:hint="eastAsia"/>
          <w:szCs w:val="22"/>
        </w:rPr>
        <w:t>；</w:t>
      </w:r>
    </w:p>
    <w:p>
      <w:pPr>
        <w:pStyle w:val="68"/>
        <w:ind w:firstLine="420" w:firstLineChars="200"/>
        <w:rPr>
          <w:szCs w:val="22"/>
        </w:rPr>
      </w:pPr>
      <w:r>
        <w:rPr>
          <w:rFonts w:hint="eastAsia"/>
          <w:szCs w:val="22"/>
        </w:rPr>
        <w:t>（3）</w:t>
      </w:r>
      <w:r>
        <w:rPr>
          <w:szCs w:val="22"/>
        </w:rPr>
        <w:t>监测布点全面，现场设备安装位置符合要求</w:t>
      </w:r>
      <w:r>
        <w:rPr>
          <w:rFonts w:hint="eastAsia"/>
          <w:szCs w:val="22"/>
        </w:rPr>
        <w:t>；</w:t>
      </w:r>
    </w:p>
    <w:p>
      <w:pPr>
        <w:pStyle w:val="68"/>
        <w:ind w:firstLine="420" w:firstLineChars="200"/>
        <w:rPr>
          <w:szCs w:val="22"/>
        </w:rPr>
      </w:pPr>
      <w:r>
        <w:rPr>
          <w:rFonts w:hint="eastAsia"/>
          <w:szCs w:val="22"/>
        </w:rPr>
        <w:t>（4）</w:t>
      </w:r>
      <w:r>
        <w:rPr>
          <w:szCs w:val="22"/>
        </w:rPr>
        <w:t>数据采集、传输及通信协议符合HJ212的要求，并提供</w:t>
      </w:r>
      <w:r>
        <w:rPr>
          <w:rFonts w:hint="eastAsia"/>
          <w:szCs w:val="22"/>
        </w:rPr>
        <w:t>试运行</w:t>
      </w:r>
      <w:r>
        <w:rPr>
          <w:szCs w:val="22"/>
        </w:rPr>
        <w:t>数据采集和传输自检报告，报告应对数据传输标准的各项内容作出响应</w:t>
      </w:r>
      <w:r>
        <w:rPr>
          <w:rFonts w:hint="eastAsia"/>
          <w:szCs w:val="22"/>
        </w:rPr>
        <w:t>。</w:t>
      </w:r>
    </w:p>
    <w:p>
      <w:pPr>
        <w:pStyle w:val="68"/>
        <w:ind w:firstLine="420" w:firstLineChars="200"/>
        <w:rPr>
          <w:szCs w:val="22"/>
        </w:rPr>
      </w:pPr>
      <w:r>
        <w:rPr>
          <w:rFonts w:hint="eastAsia"/>
          <w:szCs w:val="22"/>
        </w:rPr>
        <w:t>排污单位完成验收后，应填写验收意见单，格式见附录G。</w:t>
      </w:r>
    </w:p>
    <w:p>
      <w:pPr>
        <w:pStyle w:val="75"/>
        <w:spacing w:before="312" w:after="312"/>
        <w:rPr>
          <w:szCs w:val="22"/>
        </w:rPr>
      </w:pPr>
      <w:bookmarkStart w:id="31" w:name="_Toc5172498"/>
      <w:r>
        <w:rPr>
          <w:rFonts w:hint="eastAsia"/>
          <w:szCs w:val="22"/>
        </w:rPr>
        <w:t>9 日常运行管理</w:t>
      </w:r>
      <w:bookmarkEnd w:id="31"/>
    </w:p>
    <w:p>
      <w:pPr>
        <w:pStyle w:val="72"/>
        <w:numPr>
          <w:ilvl w:val="1"/>
          <w:numId w:val="0"/>
        </w:numPr>
        <w:spacing w:before="156" w:after="156"/>
      </w:pPr>
      <w:bookmarkStart w:id="32" w:name="_Toc5172499"/>
      <w:r>
        <w:rPr>
          <w:rFonts w:hint="eastAsia"/>
        </w:rPr>
        <w:t>9.1</w:t>
      </w:r>
      <w:r>
        <w:t>现场端日常巡检与维护</w:t>
      </w:r>
      <w:bookmarkEnd w:id="32"/>
    </w:p>
    <w:p>
      <w:pPr>
        <w:pStyle w:val="68"/>
        <w:ind w:firstLine="420" w:firstLineChars="200"/>
        <w:rPr>
          <w:szCs w:val="22"/>
        </w:rPr>
      </w:pPr>
      <w:r>
        <w:rPr>
          <w:rFonts w:hint="eastAsia"/>
          <w:szCs w:val="22"/>
        </w:rPr>
        <w:t>排污单位</w:t>
      </w:r>
      <w:r>
        <w:rPr>
          <w:szCs w:val="22"/>
        </w:rPr>
        <w:t>应配备相应的人力、物力资源（常用工具、通讯设备、交通工</w:t>
      </w:r>
    </w:p>
    <w:p>
      <w:pPr>
        <w:pStyle w:val="68"/>
        <w:ind w:firstLine="420" w:firstLineChars="200"/>
        <w:rPr>
          <w:szCs w:val="22"/>
        </w:rPr>
      </w:pPr>
      <w:r>
        <w:rPr>
          <w:szCs w:val="22"/>
        </w:rPr>
        <w:t>具等），安排专人负责监测设备日常巡检与维护</w:t>
      </w:r>
      <w:r>
        <w:rPr>
          <w:rFonts w:hint="eastAsia"/>
          <w:szCs w:val="22"/>
        </w:rPr>
        <w:t>。</w:t>
      </w:r>
      <w:r>
        <w:rPr>
          <w:szCs w:val="22"/>
        </w:rPr>
        <w:t>巡检内容包括各种设备的运行状况，查看设备是否正常运行，并做好记录。日常维护主要针对以下几方面：</w:t>
      </w:r>
    </w:p>
    <w:p>
      <w:pPr>
        <w:pStyle w:val="68"/>
        <w:ind w:firstLine="420" w:firstLineChars="200"/>
        <w:rPr>
          <w:szCs w:val="22"/>
        </w:rPr>
      </w:pPr>
      <w:r>
        <w:rPr>
          <w:rFonts w:hint="eastAsia"/>
          <w:szCs w:val="22"/>
        </w:rPr>
        <w:t>（1）</w:t>
      </w:r>
      <w:r>
        <w:rPr>
          <w:szCs w:val="22"/>
        </w:rPr>
        <w:t>不定时检查维护设备及附件；</w:t>
      </w:r>
    </w:p>
    <w:p>
      <w:pPr>
        <w:pStyle w:val="68"/>
        <w:ind w:firstLine="420" w:firstLineChars="200"/>
        <w:rPr>
          <w:szCs w:val="22"/>
        </w:rPr>
      </w:pPr>
      <w:r>
        <w:rPr>
          <w:rFonts w:hint="eastAsia"/>
          <w:szCs w:val="22"/>
        </w:rPr>
        <w:t>（2）</w:t>
      </w:r>
      <w:r>
        <w:rPr>
          <w:szCs w:val="22"/>
        </w:rPr>
        <w:t>设备经长期使用，元件自然老化导致的设备损坏故障维护；</w:t>
      </w:r>
    </w:p>
    <w:p>
      <w:pPr>
        <w:pStyle w:val="68"/>
        <w:ind w:firstLine="420" w:firstLineChars="200"/>
        <w:rPr>
          <w:szCs w:val="22"/>
        </w:rPr>
      </w:pPr>
      <w:r>
        <w:rPr>
          <w:rFonts w:hint="eastAsia"/>
          <w:szCs w:val="22"/>
        </w:rPr>
        <w:t>（3）</w:t>
      </w:r>
      <w:r>
        <w:rPr>
          <w:szCs w:val="22"/>
        </w:rPr>
        <w:t>在运行过程中，由于电压、电流的不稳定，导致的设备损坏故障；</w:t>
      </w:r>
    </w:p>
    <w:p>
      <w:pPr>
        <w:pStyle w:val="68"/>
        <w:ind w:firstLine="420" w:firstLineChars="200"/>
        <w:rPr>
          <w:szCs w:val="22"/>
        </w:rPr>
      </w:pPr>
      <w:r>
        <w:rPr>
          <w:rFonts w:hint="eastAsia"/>
          <w:szCs w:val="22"/>
        </w:rPr>
        <w:t>（4）因</w:t>
      </w:r>
      <w:r>
        <w:rPr>
          <w:szCs w:val="22"/>
        </w:rPr>
        <w:t>线路受损导致的信号传输故障；</w:t>
      </w:r>
    </w:p>
    <w:p>
      <w:pPr>
        <w:pStyle w:val="68"/>
        <w:ind w:firstLine="420" w:firstLineChars="200"/>
        <w:rPr>
          <w:szCs w:val="22"/>
        </w:rPr>
      </w:pPr>
      <w:r>
        <w:rPr>
          <w:rFonts w:hint="eastAsia"/>
          <w:szCs w:val="22"/>
        </w:rPr>
        <w:t>（5）</w:t>
      </w:r>
      <w:r>
        <w:rPr>
          <w:szCs w:val="22"/>
        </w:rPr>
        <w:t>未采取防雷措施或</w:t>
      </w:r>
      <w:r>
        <w:rPr>
          <w:rFonts w:hint="eastAsia"/>
          <w:szCs w:val="22"/>
        </w:rPr>
        <w:t>因其他</w:t>
      </w:r>
      <w:r>
        <w:rPr>
          <w:szCs w:val="22"/>
        </w:rPr>
        <w:t>原因造成的施工质量故障等</w:t>
      </w:r>
      <w:r>
        <w:rPr>
          <w:rFonts w:hint="eastAsia"/>
          <w:szCs w:val="22"/>
        </w:rPr>
        <w:t>。</w:t>
      </w:r>
    </w:p>
    <w:p>
      <w:pPr>
        <w:pStyle w:val="68"/>
        <w:ind w:firstLine="420" w:firstLineChars="200"/>
        <w:rPr>
          <w:szCs w:val="22"/>
        </w:rPr>
      </w:pPr>
      <w:r>
        <w:rPr>
          <w:szCs w:val="22"/>
        </w:rPr>
        <w:t>现场端</w:t>
      </w:r>
      <w:r>
        <w:rPr>
          <w:rFonts w:hint="eastAsia"/>
          <w:szCs w:val="22"/>
        </w:rPr>
        <w:t>监测系统由排污单位委托第三方服务机构</w:t>
      </w:r>
      <w:r>
        <w:rPr>
          <w:szCs w:val="22"/>
        </w:rPr>
        <w:t>施工</w:t>
      </w:r>
      <w:r>
        <w:rPr>
          <w:rFonts w:hint="eastAsia"/>
          <w:szCs w:val="22"/>
        </w:rPr>
        <w:t>建设的，第三方服务机构</w:t>
      </w:r>
      <w:r>
        <w:rPr>
          <w:szCs w:val="22"/>
        </w:rPr>
        <w:t>应设立7×24小时客服电话</w:t>
      </w:r>
      <w:r>
        <w:rPr>
          <w:rFonts w:hint="eastAsia"/>
          <w:szCs w:val="22"/>
        </w:rPr>
        <w:t>，做到及</w:t>
      </w:r>
      <w:r>
        <w:rPr>
          <w:szCs w:val="22"/>
        </w:rPr>
        <w:t>时响应维护需求</w:t>
      </w:r>
      <w:r>
        <w:rPr>
          <w:rFonts w:hint="eastAsia"/>
          <w:szCs w:val="22"/>
        </w:rPr>
        <w:t>，重大事件2小时到现场处理</w:t>
      </w:r>
      <w:r>
        <w:rPr>
          <w:szCs w:val="22"/>
        </w:rPr>
        <w:t>。</w:t>
      </w:r>
    </w:p>
    <w:p>
      <w:pPr>
        <w:pStyle w:val="72"/>
        <w:numPr>
          <w:ilvl w:val="1"/>
          <w:numId w:val="0"/>
        </w:numPr>
        <w:spacing w:before="156" w:after="156"/>
      </w:pPr>
      <w:bookmarkStart w:id="33" w:name="_Toc5172500"/>
      <w:r>
        <w:rPr>
          <w:rFonts w:hint="eastAsia"/>
        </w:rPr>
        <w:t>9.2中心端日常管理要求</w:t>
      </w:r>
      <w:bookmarkEnd w:id="33"/>
    </w:p>
    <w:p>
      <w:pPr>
        <w:pStyle w:val="68"/>
        <w:ind w:firstLine="420" w:firstLineChars="200"/>
      </w:pPr>
      <w:r>
        <w:t>保障中心端系统长期、稳定、可靠运行及业务应用的顺利开展，快速响应用户在系统操作中遇到的各种业务和功能问题</w:t>
      </w:r>
      <w:r>
        <w:rPr>
          <w:rFonts w:hint="eastAsia"/>
        </w:rPr>
        <w:t>。做好以下工作：</w:t>
      </w:r>
    </w:p>
    <w:p>
      <w:pPr>
        <w:pStyle w:val="68"/>
        <w:ind w:firstLine="420" w:firstLineChars="200"/>
        <w:rPr>
          <w:szCs w:val="22"/>
        </w:rPr>
      </w:pPr>
      <w:r>
        <w:rPr>
          <w:rFonts w:hint="eastAsia"/>
          <w:szCs w:val="22"/>
        </w:rPr>
        <w:t>（1）</w:t>
      </w:r>
      <w:r>
        <w:rPr>
          <w:szCs w:val="22"/>
        </w:rPr>
        <w:t>定期对业务系统进行巡检、分析，对发现的问题和缺陷进行整改；</w:t>
      </w:r>
    </w:p>
    <w:p>
      <w:pPr>
        <w:pStyle w:val="68"/>
        <w:ind w:firstLine="420" w:firstLineChars="200"/>
        <w:rPr>
          <w:szCs w:val="22"/>
        </w:rPr>
      </w:pPr>
      <w:r>
        <w:rPr>
          <w:rFonts w:hint="eastAsia"/>
          <w:szCs w:val="22"/>
        </w:rPr>
        <w:t>（2）定期对</w:t>
      </w:r>
      <w:r>
        <w:rPr>
          <w:szCs w:val="22"/>
        </w:rPr>
        <w:t>业务数据</w:t>
      </w:r>
      <w:r>
        <w:rPr>
          <w:rFonts w:hint="eastAsia"/>
          <w:szCs w:val="22"/>
        </w:rPr>
        <w:t>进行</w:t>
      </w:r>
      <w:r>
        <w:rPr>
          <w:szCs w:val="22"/>
        </w:rPr>
        <w:t>维护，包括机构、业务流程变化等引起的配置变更；</w:t>
      </w:r>
    </w:p>
    <w:p>
      <w:pPr>
        <w:pStyle w:val="68"/>
        <w:ind w:firstLine="420" w:firstLineChars="200"/>
        <w:rPr>
          <w:szCs w:val="22"/>
        </w:rPr>
      </w:pPr>
      <w:r>
        <w:rPr>
          <w:rFonts w:hint="eastAsia"/>
          <w:szCs w:val="22"/>
        </w:rPr>
        <w:t>（3）定期</w:t>
      </w:r>
      <w:r>
        <w:rPr>
          <w:szCs w:val="22"/>
        </w:rPr>
        <w:t>对业务系统性能进行调优</w:t>
      </w:r>
      <w:r>
        <w:rPr>
          <w:rFonts w:hint="eastAsia"/>
          <w:szCs w:val="22"/>
        </w:rPr>
        <w:t>，</w:t>
      </w:r>
      <w:r>
        <w:rPr>
          <w:szCs w:val="22"/>
        </w:rPr>
        <w:t>完善功能、升级修改维护技术代码</w:t>
      </w:r>
      <w:r>
        <w:rPr>
          <w:rFonts w:hint="eastAsia"/>
          <w:szCs w:val="22"/>
        </w:rPr>
        <w:t>等</w:t>
      </w:r>
      <w:r>
        <w:rPr>
          <w:szCs w:val="22"/>
        </w:rPr>
        <w:t>；</w:t>
      </w:r>
    </w:p>
    <w:p>
      <w:pPr>
        <w:pStyle w:val="68"/>
        <w:numPr>
          <w:ilvl w:val="0"/>
          <w:numId w:val="0"/>
        </w:numPr>
        <w:ind w:firstLine="420" w:firstLineChars="200"/>
      </w:pPr>
      <w:r>
        <w:rPr>
          <w:rFonts w:hint="eastAsia"/>
          <w:szCs w:val="22"/>
        </w:rPr>
        <w:t>（4）</w:t>
      </w:r>
      <w:r>
        <w:rPr>
          <w:szCs w:val="22"/>
        </w:rPr>
        <w:t>定期检查服务器CPU、内存、磁盘以及采集通信信道等系统运行环境；对数据库、实时库、消息队列及系统运行的各类程序进行健康检查。</w:t>
      </w:r>
      <w:r>
        <w:br w:type="page"/>
      </w:r>
    </w:p>
    <w:p>
      <w:pPr>
        <w:pStyle w:val="115"/>
        <w:numPr>
          <w:ilvl w:val="0"/>
          <w:numId w:val="0"/>
        </w:numPr>
        <w:tabs>
          <w:tab w:val="left" w:pos="360"/>
        </w:tabs>
      </w:pPr>
      <w:r>
        <w:rPr>
          <w:rFonts w:hint="eastAsia"/>
        </w:rPr>
        <w:t>附录A  大气污染重点行业主要生产设施必选用电监测点位表</w:t>
      </w:r>
    </w:p>
    <w:tbl>
      <w:tblPr>
        <w:tblStyle w:val="41"/>
        <w:tblW w:w="83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417"/>
        <w:gridCol w:w="6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rFonts w:ascii="黑体" w:hAnsi="黑体" w:eastAsia="黑体"/>
                <w:szCs w:val="22"/>
              </w:rPr>
            </w:pPr>
            <w:r>
              <w:rPr>
                <w:rFonts w:hint="eastAsia" w:ascii="黑体" w:hAnsi="黑体" w:eastAsia="黑体"/>
                <w:szCs w:val="22"/>
              </w:rPr>
              <w:t>序号</w:t>
            </w:r>
          </w:p>
        </w:tc>
        <w:tc>
          <w:tcPr>
            <w:tcW w:w="1417" w:type="dxa"/>
            <w:vAlign w:val="center"/>
          </w:tcPr>
          <w:p>
            <w:pPr>
              <w:pStyle w:val="68"/>
              <w:numPr>
                <w:ilvl w:val="0"/>
                <w:numId w:val="0"/>
              </w:numPr>
              <w:adjustRightInd w:val="0"/>
              <w:snapToGrid w:val="0"/>
              <w:jc w:val="center"/>
              <w:rPr>
                <w:rFonts w:ascii="黑体" w:hAnsi="黑体" w:eastAsia="黑体"/>
                <w:szCs w:val="22"/>
              </w:rPr>
            </w:pPr>
            <w:r>
              <w:rPr>
                <w:rFonts w:hint="eastAsia" w:ascii="黑体" w:hAnsi="黑体" w:eastAsia="黑体"/>
                <w:szCs w:val="22"/>
              </w:rPr>
              <w:t>行业类型</w:t>
            </w:r>
          </w:p>
        </w:tc>
        <w:tc>
          <w:tcPr>
            <w:tcW w:w="6065" w:type="dxa"/>
            <w:vAlign w:val="center"/>
          </w:tcPr>
          <w:p>
            <w:pPr>
              <w:pStyle w:val="68"/>
              <w:numPr>
                <w:ilvl w:val="0"/>
                <w:numId w:val="0"/>
              </w:numPr>
              <w:adjustRightInd w:val="0"/>
              <w:snapToGrid w:val="0"/>
              <w:jc w:val="center"/>
              <w:rPr>
                <w:rFonts w:ascii="黑体" w:hAnsi="黑体" w:eastAsia="黑体"/>
                <w:szCs w:val="22"/>
              </w:rPr>
            </w:pPr>
            <w:r>
              <w:rPr>
                <w:rFonts w:hint="eastAsia" w:ascii="黑体" w:hAnsi="黑体" w:eastAsia="黑体"/>
                <w:szCs w:val="22"/>
              </w:rPr>
              <w:t>必选监测点位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w:t>
            </w:r>
          </w:p>
        </w:tc>
        <w:tc>
          <w:tcPr>
            <w:tcW w:w="1417" w:type="dxa"/>
            <w:vAlign w:val="center"/>
          </w:tcPr>
          <w:p>
            <w:pPr>
              <w:pStyle w:val="68"/>
              <w:numPr>
                <w:ilvl w:val="0"/>
                <w:numId w:val="0"/>
              </w:numPr>
              <w:adjustRightInd w:val="0"/>
              <w:snapToGrid w:val="0"/>
              <w:jc w:val="center"/>
              <w:rPr>
                <w:szCs w:val="22"/>
              </w:rPr>
            </w:pPr>
            <w:r>
              <w:rPr>
                <w:rFonts w:hint="eastAsia"/>
                <w:szCs w:val="22"/>
              </w:rPr>
              <w:t>水泥工业类</w:t>
            </w:r>
          </w:p>
        </w:tc>
        <w:tc>
          <w:tcPr>
            <w:tcW w:w="6065" w:type="dxa"/>
            <w:vAlign w:val="center"/>
          </w:tcPr>
          <w:p>
            <w:pPr>
              <w:pStyle w:val="68"/>
              <w:numPr>
                <w:ilvl w:val="0"/>
                <w:numId w:val="0"/>
              </w:numPr>
              <w:adjustRightInd w:val="0"/>
              <w:snapToGrid w:val="0"/>
              <w:rPr>
                <w:szCs w:val="22"/>
              </w:rPr>
            </w:pPr>
            <w:r>
              <w:rPr>
                <w:rFonts w:hint="eastAsia"/>
                <w:szCs w:val="22"/>
              </w:rPr>
              <w:t>水泥窑、冷却机、煤磨、烘干磨、生料磨、包装机、水泥磨、磨机、烘干机、破碎机、包装机等。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2</w:t>
            </w:r>
          </w:p>
        </w:tc>
        <w:tc>
          <w:tcPr>
            <w:tcW w:w="1417" w:type="dxa"/>
            <w:vAlign w:val="center"/>
          </w:tcPr>
          <w:p>
            <w:pPr>
              <w:pStyle w:val="68"/>
              <w:numPr>
                <w:ilvl w:val="0"/>
                <w:numId w:val="0"/>
              </w:numPr>
              <w:adjustRightInd w:val="0"/>
              <w:snapToGrid w:val="0"/>
              <w:jc w:val="center"/>
              <w:rPr>
                <w:szCs w:val="22"/>
              </w:rPr>
            </w:pPr>
            <w:r>
              <w:rPr>
                <w:rFonts w:hint="eastAsia"/>
                <w:szCs w:val="22"/>
              </w:rPr>
              <w:t>石化工业类</w:t>
            </w:r>
          </w:p>
        </w:tc>
        <w:tc>
          <w:tcPr>
            <w:tcW w:w="6065" w:type="dxa"/>
            <w:vAlign w:val="center"/>
          </w:tcPr>
          <w:p>
            <w:pPr>
              <w:pStyle w:val="68"/>
              <w:numPr>
                <w:ilvl w:val="0"/>
                <w:numId w:val="0"/>
              </w:numPr>
              <w:adjustRightInd w:val="0"/>
              <w:snapToGrid w:val="0"/>
              <w:rPr>
                <w:szCs w:val="22"/>
              </w:rPr>
            </w:pPr>
            <w:r>
              <w:rPr>
                <w:rFonts w:hint="eastAsia"/>
                <w:szCs w:val="22"/>
              </w:rPr>
              <w:t>锅炉、工艺加热炉、催化裂化装置等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3</w:t>
            </w:r>
          </w:p>
        </w:tc>
        <w:tc>
          <w:tcPr>
            <w:tcW w:w="1417" w:type="dxa"/>
            <w:vAlign w:val="center"/>
          </w:tcPr>
          <w:p>
            <w:pPr>
              <w:pStyle w:val="68"/>
              <w:numPr>
                <w:ilvl w:val="0"/>
                <w:numId w:val="0"/>
              </w:numPr>
              <w:adjustRightInd w:val="0"/>
              <w:snapToGrid w:val="0"/>
              <w:jc w:val="center"/>
              <w:rPr>
                <w:szCs w:val="22"/>
              </w:rPr>
            </w:pPr>
            <w:r>
              <w:rPr>
                <w:rFonts w:hint="eastAsia"/>
                <w:szCs w:val="22"/>
              </w:rPr>
              <w:t>造纸工业类</w:t>
            </w:r>
          </w:p>
        </w:tc>
        <w:tc>
          <w:tcPr>
            <w:tcW w:w="6065" w:type="dxa"/>
            <w:vAlign w:val="center"/>
          </w:tcPr>
          <w:p>
            <w:pPr>
              <w:pStyle w:val="68"/>
              <w:numPr>
                <w:ilvl w:val="0"/>
                <w:numId w:val="0"/>
              </w:numPr>
              <w:adjustRightInd w:val="0"/>
              <w:snapToGrid w:val="0"/>
              <w:rPr>
                <w:szCs w:val="22"/>
              </w:rPr>
            </w:pPr>
            <w:r>
              <w:rPr>
                <w:rFonts w:hint="eastAsia"/>
                <w:szCs w:val="22"/>
              </w:rPr>
              <w:t>碱回收炉排气筒、石灰窑排气筒等。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4</w:t>
            </w:r>
          </w:p>
        </w:tc>
        <w:tc>
          <w:tcPr>
            <w:tcW w:w="1417" w:type="dxa"/>
            <w:vAlign w:val="center"/>
          </w:tcPr>
          <w:p>
            <w:pPr>
              <w:pStyle w:val="68"/>
              <w:numPr>
                <w:ilvl w:val="0"/>
                <w:numId w:val="0"/>
              </w:numPr>
              <w:adjustRightInd w:val="0"/>
              <w:snapToGrid w:val="0"/>
              <w:jc w:val="center"/>
              <w:rPr>
                <w:szCs w:val="22"/>
              </w:rPr>
            </w:pPr>
            <w:r>
              <w:rPr>
                <w:rFonts w:hint="eastAsia"/>
                <w:szCs w:val="22"/>
              </w:rPr>
              <w:t>玻璃工业类</w:t>
            </w:r>
          </w:p>
        </w:tc>
        <w:tc>
          <w:tcPr>
            <w:tcW w:w="6065" w:type="dxa"/>
            <w:vAlign w:val="center"/>
          </w:tcPr>
          <w:p>
            <w:pPr>
              <w:pStyle w:val="68"/>
              <w:numPr>
                <w:ilvl w:val="0"/>
                <w:numId w:val="0"/>
              </w:numPr>
              <w:adjustRightInd w:val="0"/>
              <w:snapToGrid w:val="0"/>
              <w:rPr>
                <w:szCs w:val="22"/>
              </w:rPr>
            </w:pPr>
            <w:r>
              <w:rPr>
                <w:rFonts w:hint="eastAsia"/>
                <w:szCs w:val="22"/>
              </w:rPr>
              <w:t>粗破机、斗式提升机、带式输送机、筛分机、破碎机、投料机、</w:t>
            </w:r>
            <w:r>
              <w:rPr>
                <w:szCs w:val="22"/>
              </w:rPr>
              <w:t>冷却风机</w:t>
            </w:r>
            <w:r>
              <w:rPr>
                <w:rFonts w:hint="eastAsia"/>
                <w:szCs w:val="2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5</w:t>
            </w:r>
          </w:p>
        </w:tc>
        <w:tc>
          <w:tcPr>
            <w:tcW w:w="1417" w:type="dxa"/>
            <w:vAlign w:val="center"/>
          </w:tcPr>
          <w:p>
            <w:pPr>
              <w:pStyle w:val="68"/>
              <w:numPr>
                <w:ilvl w:val="0"/>
                <w:numId w:val="0"/>
              </w:numPr>
              <w:adjustRightInd w:val="0"/>
              <w:snapToGrid w:val="0"/>
              <w:jc w:val="center"/>
              <w:rPr>
                <w:szCs w:val="22"/>
              </w:rPr>
            </w:pPr>
            <w:r>
              <w:rPr>
                <w:rFonts w:hint="eastAsia"/>
                <w:szCs w:val="22"/>
              </w:rPr>
              <w:t>化肥工业类</w:t>
            </w:r>
          </w:p>
        </w:tc>
        <w:tc>
          <w:tcPr>
            <w:tcW w:w="6065" w:type="dxa"/>
            <w:vAlign w:val="center"/>
          </w:tcPr>
          <w:p>
            <w:pPr>
              <w:pStyle w:val="68"/>
              <w:numPr>
                <w:ilvl w:val="0"/>
                <w:numId w:val="0"/>
              </w:numPr>
              <w:adjustRightInd w:val="0"/>
              <w:snapToGrid w:val="0"/>
              <w:rPr>
                <w:szCs w:val="22"/>
              </w:rPr>
            </w:pPr>
            <w:r>
              <w:rPr>
                <w:rFonts w:hint="eastAsia"/>
                <w:szCs w:val="22"/>
              </w:rPr>
              <w:t>脱碳气提塔废气排气筒、硫回收尾气排气筒、酸性气脱除设施排气筒、造粒塔排气筒、造粒塔排气筒等。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6</w:t>
            </w:r>
          </w:p>
        </w:tc>
        <w:tc>
          <w:tcPr>
            <w:tcW w:w="1417" w:type="dxa"/>
            <w:vAlign w:val="center"/>
          </w:tcPr>
          <w:p>
            <w:pPr>
              <w:pStyle w:val="68"/>
              <w:numPr>
                <w:ilvl w:val="0"/>
                <w:numId w:val="0"/>
              </w:numPr>
              <w:adjustRightInd w:val="0"/>
              <w:snapToGrid w:val="0"/>
              <w:jc w:val="center"/>
              <w:rPr>
                <w:szCs w:val="22"/>
              </w:rPr>
            </w:pPr>
            <w:r>
              <w:rPr>
                <w:rFonts w:hint="eastAsia"/>
                <w:szCs w:val="22"/>
              </w:rPr>
              <w:t>炼焦化学工业类</w:t>
            </w:r>
          </w:p>
        </w:tc>
        <w:tc>
          <w:tcPr>
            <w:tcW w:w="6065" w:type="dxa"/>
            <w:vAlign w:val="center"/>
          </w:tcPr>
          <w:p>
            <w:pPr>
              <w:pStyle w:val="68"/>
              <w:numPr>
                <w:ilvl w:val="0"/>
                <w:numId w:val="0"/>
              </w:numPr>
              <w:adjustRightInd w:val="0"/>
              <w:snapToGrid w:val="0"/>
              <w:rPr>
                <w:szCs w:val="22"/>
              </w:rPr>
            </w:pPr>
            <w:r>
              <w:rPr>
                <w:rFonts w:hint="eastAsia"/>
                <w:szCs w:val="22"/>
              </w:rPr>
              <w:t>粉碎机、</w:t>
            </w:r>
            <w:r>
              <w:rPr>
                <w:szCs w:val="22"/>
              </w:rPr>
              <w:t>推焦装煤车</w:t>
            </w:r>
            <w:r>
              <w:rPr>
                <w:rFonts w:hint="eastAsia"/>
                <w:szCs w:val="22"/>
              </w:rPr>
              <w:t>、</w:t>
            </w:r>
            <w:r>
              <w:rPr>
                <w:szCs w:val="22"/>
              </w:rPr>
              <w:t>煤气鼓风机</w:t>
            </w:r>
            <w:r>
              <w:rPr>
                <w:rFonts w:hint="eastAsia"/>
                <w:szCs w:val="22"/>
              </w:rPr>
              <w:t>、</w:t>
            </w:r>
            <w:r>
              <w:rPr>
                <w:szCs w:val="22"/>
              </w:rPr>
              <w:t>贫油泵</w:t>
            </w:r>
            <w:r>
              <w:rPr>
                <w:rFonts w:hint="eastAsia"/>
                <w:szCs w:val="22"/>
              </w:rPr>
              <w:t>、</w:t>
            </w:r>
            <w:r>
              <w:rPr>
                <w:szCs w:val="22"/>
              </w:rPr>
              <w:t>富油泵</w:t>
            </w:r>
            <w:r>
              <w:rPr>
                <w:rFonts w:hint="eastAsia"/>
                <w:szCs w:val="22"/>
              </w:rPr>
              <w:t>、</w:t>
            </w:r>
            <w:r>
              <w:rPr>
                <w:szCs w:val="22"/>
              </w:rPr>
              <w:t>大母液泵</w:t>
            </w:r>
            <w:r>
              <w:rPr>
                <w:rFonts w:hint="eastAsia"/>
                <w:szCs w:val="22"/>
              </w:rPr>
              <w:t>、</w:t>
            </w:r>
            <w:r>
              <w:rPr>
                <w:szCs w:val="22"/>
              </w:rPr>
              <w:t>煤气鼓风机</w:t>
            </w:r>
            <w:r>
              <w:rPr>
                <w:rFonts w:hint="eastAsia"/>
                <w:szCs w:val="22"/>
              </w:rPr>
              <w:t>、干熄炉、锅炉等。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7</w:t>
            </w:r>
          </w:p>
        </w:tc>
        <w:tc>
          <w:tcPr>
            <w:tcW w:w="1417" w:type="dxa"/>
            <w:vAlign w:val="center"/>
          </w:tcPr>
          <w:p>
            <w:pPr>
              <w:pStyle w:val="68"/>
              <w:numPr>
                <w:ilvl w:val="0"/>
                <w:numId w:val="0"/>
              </w:numPr>
              <w:adjustRightInd w:val="0"/>
              <w:snapToGrid w:val="0"/>
              <w:jc w:val="center"/>
              <w:rPr>
                <w:szCs w:val="22"/>
              </w:rPr>
            </w:pPr>
            <w:r>
              <w:rPr>
                <w:rFonts w:hint="eastAsia"/>
                <w:szCs w:val="22"/>
              </w:rPr>
              <w:t>制革行业类</w:t>
            </w:r>
          </w:p>
        </w:tc>
        <w:tc>
          <w:tcPr>
            <w:tcW w:w="6065" w:type="dxa"/>
            <w:vAlign w:val="center"/>
          </w:tcPr>
          <w:p>
            <w:pPr>
              <w:pStyle w:val="68"/>
              <w:numPr>
                <w:ilvl w:val="0"/>
                <w:numId w:val="0"/>
              </w:numPr>
              <w:adjustRightInd w:val="0"/>
              <w:snapToGrid w:val="0"/>
              <w:rPr>
                <w:szCs w:val="22"/>
              </w:rPr>
            </w:pPr>
            <w:r>
              <w:rPr>
                <w:rFonts w:hint="eastAsia"/>
                <w:szCs w:val="22"/>
              </w:rPr>
              <w:t>喷浆机、磨革机、电锅炉、生物质锅炉等。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8</w:t>
            </w:r>
          </w:p>
        </w:tc>
        <w:tc>
          <w:tcPr>
            <w:tcW w:w="1417" w:type="dxa"/>
            <w:vAlign w:val="center"/>
          </w:tcPr>
          <w:p>
            <w:pPr>
              <w:pStyle w:val="68"/>
              <w:numPr>
                <w:ilvl w:val="0"/>
                <w:numId w:val="0"/>
              </w:numPr>
              <w:adjustRightInd w:val="0"/>
              <w:snapToGrid w:val="0"/>
              <w:jc w:val="center"/>
              <w:rPr>
                <w:szCs w:val="22"/>
              </w:rPr>
            </w:pPr>
            <w:r>
              <w:rPr>
                <w:rFonts w:hint="eastAsia"/>
                <w:szCs w:val="22"/>
              </w:rPr>
              <w:t>纺织印染工业类</w:t>
            </w:r>
          </w:p>
        </w:tc>
        <w:tc>
          <w:tcPr>
            <w:tcW w:w="6065" w:type="dxa"/>
            <w:vAlign w:val="center"/>
          </w:tcPr>
          <w:p>
            <w:pPr>
              <w:pStyle w:val="68"/>
              <w:numPr>
                <w:ilvl w:val="0"/>
                <w:numId w:val="0"/>
              </w:numPr>
              <w:adjustRightInd w:val="0"/>
              <w:snapToGrid w:val="0"/>
              <w:rPr>
                <w:szCs w:val="22"/>
              </w:rPr>
            </w:pPr>
            <w:r>
              <w:rPr>
                <w:rFonts w:hint="eastAsia"/>
                <w:szCs w:val="22"/>
              </w:rPr>
              <w:t>印花机、定型机、涂层机、锅炉等。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9</w:t>
            </w:r>
          </w:p>
        </w:tc>
        <w:tc>
          <w:tcPr>
            <w:tcW w:w="1417" w:type="dxa"/>
            <w:vAlign w:val="center"/>
          </w:tcPr>
          <w:p>
            <w:pPr>
              <w:pStyle w:val="68"/>
              <w:numPr>
                <w:ilvl w:val="0"/>
                <w:numId w:val="0"/>
              </w:numPr>
              <w:adjustRightInd w:val="0"/>
              <w:snapToGrid w:val="0"/>
              <w:jc w:val="center"/>
              <w:rPr>
                <w:szCs w:val="22"/>
              </w:rPr>
            </w:pPr>
            <w:r>
              <w:rPr>
                <w:rFonts w:hint="eastAsia"/>
                <w:szCs w:val="22"/>
              </w:rPr>
              <w:t>钢铁工业类</w:t>
            </w:r>
          </w:p>
        </w:tc>
        <w:tc>
          <w:tcPr>
            <w:tcW w:w="6065" w:type="dxa"/>
            <w:vAlign w:val="center"/>
          </w:tcPr>
          <w:p>
            <w:pPr>
              <w:pStyle w:val="68"/>
              <w:numPr>
                <w:ilvl w:val="0"/>
                <w:numId w:val="0"/>
              </w:numPr>
              <w:adjustRightInd w:val="0"/>
              <w:snapToGrid w:val="0"/>
              <w:rPr>
                <w:szCs w:val="22"/>
              </w:rPr>
            </w:pPr>
            <w:r>
              <w:rPr>
                <w:rFonts w:hint="eastAsia"/>
                <w:szCs w:val="22"/>
              </w:rPr>
              <w:t>破碎机、烧结机、破碎机、冷却机、高炉、</w:t>
            </w:r>
            <w:r>
              <w:rPr>
                <w:szCs w:val="22"/>
              </w:rPr>
              <w:t>焙烧炉</w:t>
            </w:r>
            <w:r>
              <w:rPr>
                <w:rFonts w:hint="eastAsia"/>
                <w:szCs w:val="22"/>
              </w:rPr>
              <w:t>、热风炉、转炉（二次烟气）、电炉、石灰窑、白云石窑、转炉（一次烟气）、精炼炉、热处理炉、热轧精轧机拉矫机、精整机、抛丸机、修磨机、焊接机、轧制机、酸洗机、涂镀层机、脱脂机、涂层机等。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10</w:t>
            </w:r>
          </w:p>
        </w:tc>
        <w:tc>
          <w:tcPr>
            <w:tcW w:w="1417" w:type="dxa"/>
            <w:vAlign w:val="center"/>
          </w:tcPr>
          <w:p>
            <w:pPr>
              <w:pStyle w:val="68"/>
              <w:numPr>
                <w:ilvl w:val="0"/>
                <w:numId w:val="0"/>
              </w:numPr>
              <w:adjustRightInd w:val="0"/>
              <w:snapToGrid w:val="0"/>
              <w:jc w:val="center"/>
              <w:rPr>
                <w:szCs w:val="22"/>
              </w:rPr>
            </w:pPr>
            <w:r>
              <w:rPr>
                <w:rFonts w:hint="eastAsia"/>
                <w:szCs w:val="22"/>
              </w:rPr>
              <w:t>电镀工业类</w:t>
            </w:r>
          </w:p>
        </w:tc>
        <w:tc>
          <w:tcPr>
            <w:tcW w:w="6065" w:type="dxa"/>
            <w:vAlign w:val="center"/>
          </w:tcPr>
          <w:p>
            <w:pPr>
              <w:pStyle w:val="68"/>
              <w:numPr>
                <w:ilvl w:val="0"/>
                <w:numId w:val="0"/>
              </w:numPr>
              <w:adjustRightInd w:val="0"/>
              <w:snapToGrid w:val="0"/>
              <w:rPr>
                <w:szCs w:val="22"/>
              </w:rPr>
            </w:pPr>
            <w:r>
              <w:rPr>
                <w:rFonts w:hint="eastAsia"/>
                <w:szCs w:val="22"/>
              </w:rPr>
              <w:t>表面精饰滚光机、抛光机、喷丸机、喷砂机等。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11</w:t>
            </w:r>
          </w:p>
        </w:tc>
        <w:tc>
          <w:tcPr>
            <w:tcW w:w="1417" w:type="dxa"/>
            <w:vAlign w:val="center"/>
          </w:tcPr>
          <w:p>
            <w:pPr>
              <w:pStyle w:val="68"/>
              <w:numPr>
                <w:ilvl w:val="0"/>
                <w:numId w:val="0"/>
              </w:numPr>
              <w:adjustRightInd w:val="0"/>
              <w:snapToGrid w:val="0"/>
              <w:jc w:val="center"/>
              <w:rPr>
                <w:szCs w:val="22"/>
              </w:rPr>
            </w:pPr>
            <w:r>
              <w:rPr>
                <w:rFonts w:hint="eastAsia"/>
                <w:szCs w:val="22"/>
              </w:rPr>
              <w:t>火电工业类</w:t>
            </w:r>
          </w:p>
        </w:tc>
        <w:tc>
          <w:tcPr>
            <w:tcW w:w="6065" w:type="dxa"/>
            <w:vAlign w:val="center"/>
          </w:tcPr>
          <w:p>
            <w:pPr>
              <w:pStyle w:val="68"/>
              <w:numPr>
                <w:ilvl w:val="0"/>
                <w:numId w:val="0"/>
              </w:numPr>
              <w:adjustRightInd w:val="0"/>
              <w:snapToGrid w:val="0"/>
              <w:rPr>
                <w:szCs w:val="22"/>
              </w:rPr>
            </w:pPr>
            <w:r>
              <w:rPr>
                <w:szCs w:val="22"/>
              </w:rPr>
              <w:t>燃煤锅炉</w:t>
            </w:r>
            <w:r>
              <w:rPr>
                <w:rFonts w:hint="eastAsia"/>
                <w:szCs w:val="22"/>
              </w:rPr>
              <w:t>、蒸汽轮机、燃气轮机、汽轮机、发电机等。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12</w:t>
            </w:r>
          </w:p>
        </w:tc>
        <w:tc>
          <w:tcPr>
            <w:tcW w:w="1417" w:type="dxa"/>
            <w:vAlign w:val="center"/>
          </w:tcPr>
          <w:p>
            <w:pPr>
              <w:pStyle w:val="68"/>
              <w:numPr>
                <w:ilvl w:val="0"/>
                <w:numId w:val="0"/>
              </w:numPr>
              <w:adjustRightInd w:val="0"/>
              <w:snapToGrid w:val="0"/>
              <w:jc w:val="center"/>
              <w:rPr>
                <w:szCs w:val="22"/>
              </w:rPr>
            </w:pPr>
            <w:r>
              <w:rPr>
                <w:rFonts w:hint="eastAsia"/>
                <w:szCs w:val="22"/>
              </w:rPr>
              <w:t>农副食品加工工业类</w:t>
            </w:r>
          </w:p>
        </w:tc>
        <w:tc>
          <w:tcPr>
            <w:tcW w:w="6065" w:type="dxa"/>
            <w:vAlign w:val="center"/>
          </w:tcPr>
          <w:p>
            <w:pPr>
              <w:pStyle w:val="68"/>
              <w:numPr>
                <w:ilvl w:val="0"/>
                <w:numId w:val="0"/>
              </w:numPr>
              <w:adjustRightInd w:val="0"/>
              <w:snapToGrid w:val="0"/>
              <w:rPr>
                <w:szCs w:val="22"/>
              </w:rPr>
            </w:pPr>
            <w:r>
              <w:rPr>
                <w:rFonts w:hint="eastAsia"/>
                <w:szCs w:val="22"/>
              </w:rPr>
              <w:t>吸风机、引风机、燃硫设备、分离机、筛分机、粉碎机、投料机等。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13</w:t>
            </w:r>
          </w:p>
        </w:tc>
        <w:tc>
          <w:tcPr>
            <w:tcW w:w="1417" w:type="dxa"/>
            <w:vAlign w:val="center"/>
          </w:tcPr>
          <w:p>
            <w:pPr>
              <w:pStyle w:val="68"/>
              <w:numPr>
                <w:ilvl w:val="0"/>
                <w:numId w:val="0"/>
              </w:numPr>
              <w:adjustRightInd w:val="0"/>
              <w:snapToGrid w:val="0"/>
              <w:jc w:val="center"/>
              <w:rPr>
                <w:szCs w:val="22"/>
              </w:rPr>
            </w:pPr>
            <w:r>
              <w:rPr>
                <w:rFonts w:hint="eastAsia"/>
                <w:szCs w:val="22"/>
              </w:rPr>
              <w:t>农药制造工业类</w:t>
            </w:r>
          </w:p>
        </w:tc>
        <w:tc>
          <w:tcPr>
            <w:tcW w:w="6065" w:type="dxa"/>
            <w:vAlign w:val="center"/>
          </w:tcPr>
          <w:p>
            <w:pPr>
              <w:pStyle w:val="68"/>
              <w:numPr>
                <w:ilvl w:val="0"/>
                <w:numId w:val="0"/>
              </w:numPr>
              <w:adjustRightInd w:val="0"/>
              <w:snapToGrid w:val="0"/>
              <w:rPr>
                <w:szCs w:val="22"/>
              </w:rPr>
            </w:pPr>
            <w:r>
              <w:rPr>
                <w:rFonts w:hint="eastAsia"/>
                <w:szCs w:val="22"/>
              </w:rPr>
              <w:t>进料泵、破碎机、反应釜、过滤机、真空干燥器、离心机等。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14</w:t>
            </w:r>
          </w:p>
        </w:tc>
        <w:tc>
          <w:tcPr>
            <w:tcW w:w="1417" w:type="dxa"/>
            <w:vAlign w:val="center"/>
          </w:tcPr>
          <w:p>
            <w:pPr>
              <w:pStyle w:val="68"/>
              <w:numPr>
                <w:ilvl w:val="0"/>
                <w:numId w:val="0"/>
              </w:numPr>
              <w:adjustRightInd w:val="0"/>
              <w:snapToGrid w:val="0"/>
              <w:jc w:val="center"/>
              <w:rPr>
                <w:szCs w:val="22"/>
              </w:rPr>
            </w:pPr>
            <w:r>
              <w:rPr>
                <w:rFonts w:hint="eastAsia"/>
                <w:szCs w:val="22"/>
              </w:rPr>
              <w:t>有色金属行业类</w:t>
            </w:r>
          </w:p>
        </w:tc>
        <w:tc>
          <w:tcPr>
            <w:tcW w:w="6065" w:type="dxa"/>
            <w:vAlign w:val="center"/>
          </w:tcPr>
          <w:p>
            <w:pPr>
              <w:pStyle w:val="68"/>
              <w:numPr>
                <w:ilvl w:val="0"/>
                <w:numId w:val="0"/>
              </w:numPr>
              <w:adjustRightInd w:val="0"/>
              <w:snapToGrid w:val="0"/>
              <w:rPr>
                <w:szCs w:val="22"/>
              </w:rPr>
            </w:pPr>
            <w:r>
              <w:rPr>
                <w:rFonts w:hint="eastAsia"/>
                <w:szCs w:val="22"/>
              </w:rPr>
              <w:t>熔炼炉、精炼炉、电铅锅、焙解炉、熔析炉、感应电炉等。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15</w:t>
            </w:r>
          </w:p>
        </w:tc>
        <w:tc>
          <w:tcPr>
            <w:tcW w:w="1417" w:type="dxa"/>
            <w:vAlign w:val="center"/>
          </w:tcPr>
          <w:p>
            <w:pPr>
              <w:pStyle w:val="68"/>
              <w:numPr>
                <w:ilvl w:val="0"/>
                <w:numId w:val="0"/>
              </w:numPr>
              <w:adjustRightInd w:val="0"/>
              <w:snapToGrid w:val="0"/>
              <w:jc w:val="center"/>
              <w:rPr>
                <w:szCs w:val="22"/>
              </w:rPr>
            </w:pPr>
            <w:r>
              <w:rPr>
                <w:rFonts w:hint="eastAsia"/>
                <w:szCs w:val="22"/>
              </w:rPr>
              <w:t>制药工业类</w:t>
            </w:r>
          </w:p>
        </w:tc>
        <w:tc>
          <w:tcPr>
            <w:tcW w:w="6065" w:type="dxa"/>
            <w:vAlign w:val="center"/>
          </w:tcPr>
          <w:p>
            <w:pPr>
              <w:pStyle w:val="68"/>
              <w:numPr>
                <w:ilvl w:val="0"/>
                <w:numId w:val="0"/>
              </w:numPr>
              <w:adjustRightInd w:val="0"/>
              <w:snapToGrid w:val="0"/>
              <w:rPr>
                <w:szCs w:val="22"/>
              </w:rPr>
            </w:pPr>
            <w:r>
              <w:rPr>
                <w:rFonts w:hint="eastAsia"/>
                <w:szCs w:val="22"/>
              </w:rPr>
              <w:t>进料泵、整粒筛分机、破碎机、反应釜、分离机、磨粉机等。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16</w:t>
            </w:r>
          </w:p>
        </w:tc>
        <w:tc>
          <w:tcPr>
            <w:tcW w:w="1417" w:type="dxa"/>
            <w:vAlign w:val="center"/>
          </w:tcPr>
          <w:p>
            <w:pPr>
              <w:pStyle w:val="68"/>
              <w:numPr>
                <w:ilvl w:val="0"/>
                <w:numId w:val="0"/>
              </w:numPr>
              <w:adjustRightInd w:val="0"/>
              <w:snapToGrid w:val="0"/>
              <w:jc w:val="center"/>
              <w:rPr>
                <w:szCs w:val="22"/>
              </w:rPr>
            </w:pPr>
            <w:r>
              <w:rPr>
                <w:rFonts w:hint="eastAsia"/>
                <w:szCs w:val="22"/>
              </w:rPr>
              <w:t>公用基础设施类</w:t>
            </w:r>
          </w:p>
        </w:tc>
        <w:tc>
          <w:tcPr>
            <w:tcW w:w="6065" w:type="dxa"/>
            <w:vAlign w:val="center"/>
          </w:tcPr>
          <w:p>
            <w:pPr>
              <w:pStyle w:val="68"/>
              <w:numPr>
                <w:ilvl w:val="0"/>
                <w:numId w:val="0"/>
              </w:numPr>
              <w:adjustRightInd w:val="0"/>
              <w:snapToGrid w:val="0"/>
              <w:rPr>
                <w:szCs w:val="22"/>
              </w:rPr>
            </w:pPr>
            <w:r>
              <w:rPr>
                <w:rFonts w:hint="eastAsia"/>
                <w:szCs w:val="22"/>
              </w:rPr>
              <w:t>锅炉、汽轮机、发电机、污水处理站的集气罩等。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25" w:type="dxa"/>
            <w:vAlign w:val="center"/>
          </w:tcPr>
          <w:p>
            <w:pPr>
              <w:pStyle w:val="68"/>
              <w:numPr>
                <w:ilvl w:val="0"/>
                <w:numId w:val="0"/>
              </w:numPr>
              <w:adjustRightInd w:val="0"/>
              <w:snapToGrid w:val="0"/>
              <w:jc w:val="center"/>
              <w:rPr>
                <w:szCs w:val="22"/>
              </w:rPr>
            </w:pPr>
            <w:r>
              <w:rPr>
                <w:rFonts w:hint="eastAsia"/>
                <w:szCs w:val="22"/>
              </w:rPr>
              <w:t>17</w:t>
            </w:r>
          </w:p>
        </w:tc>
        <w:tc>
          <w:tcPr>
            <w:tcW w:w="1417" w:type="dxa"/>
            <w:vAlign w:val="center"/>
          </w:tcPr>
          <w:p>
            <w:pPr>
              <w:pStyle w:val="68"/>
              <w:numPr>
                <w:ilvl w:val="0"/>
                <w:numId w:val="0"/>
              </w:numPr>
              <w:adjustRightInd w:val="0"/>
              <w:snapToGrid w:val="0"/>
              <w:jc w:val="center"/>
              <w:rPr>
                <w:szCs w:val="22"/>
              </w:rPr>
            </w:pPr>
            <w:r>
              <w:rPr>
                <w:rFonts w:hint="eastAsia"/>
                <w:szCs w:val="22"/>
              </w:rPr>
              <w:t>其它类</w:t>
            </w:r>
          </w:p>
        </w:tc>
        <w:tc>
          <w:tcPr>
            <w:tcW w:w="6065" w:type="dxa"/>
            <w:vAlign w:val="center"/>
          </w:tcPr>
          <w:p>
            <w:pPr>
              <w:pStyle w:val="68"/>
              <w:numPr>
                <w:ilvl w:val="0"/>
                <w:numId w:val="0"/>
              </w:numPr>
              <w:adjustRightInd w:val="0"/>
              <w:snapToGrid w:val="0"/>
              <w:rPr>
                <w:szCs w:val="22"/>
              </w:rPr>
            </w:pPr>
            <w:r>
              <w:rPr>
                <w:rFonts w:hint="eastAsia"/>
                <w:szCs w:val="22"/>
              </w:rPr>
              <w:t>参见排污许可证或环境影响评价报告列出的主要生产设施。</w:t>
            </w:r>
          </w:p>
        </w:tc>
      </w:tr>
    </w:tbl>
    <w:p>
      <w:pPr>
        <w:pStyle w:val="15"/>
        <w:ind w:left="0"/>
        <w:rPr>
          <w:lang w:eastAsia="zh-CN"/>
        </w:rPr>
      </w:pPr>
    </w:p>
    <w:p>
      <w:r>
        <w:br w:type="page"/>
      </w:r>
    </w:p>
    <w:p>
      <w:pPr>
        <w:pStyle w:val="115"/>
        <w:numPr>
          <w:ilvl w:val="0"/>
          <w:numId w:val="0"/>
        </w:numPr>
        <w:tabs>
          <w:tab w:val="left" w:pos="360"/>
        </w:tabs>
      </w:pPr>
      <w:r>
        <w:rPr>
          <w:rFonts w:hint="eastAsia"/>
        </w:rPr>
        <w:t>附录B  主要废气污染治理设施用电必选监测点位表</w:t>
      </w:r>
    </w:p>
    <w:tbl>
      <w:tblPr>
        <w:tblStyle w:val="41"/>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00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rFonts w:ascii="黑体" w:hAnsi="黑体" w:eastAsia="黑体"/>
                <w:szCs w:val="22"/>
              </w:rPr>
            </w:pPr>
            <w:r>
              <w:rPr>
                <w:rFonts w:hint="eastAsia" w:ascii="黑体" w:hAnsi="黑体" w:eastAsia="黑体"/>
                <w:szCs w:val="22"/>
              </w:rPr>
              <w:t>序号</w:t>
            </w:r>
          </w:p>
        </w:tc>
        <w:tc>
          <w:tcPr>
            <w:tcW w:w="2004" w:type="dxa"/>
            <w:vAlign w:val="center"/>
          </w:tcPr>
          <w:p>
            <w:pPr>
              <w:pStyle w:val="68"/>
              <w:jc w:val="center"/>
              <w:rPr>
                <w:rFonts w:ascii="黑体" w:hAnsi="黑体" w:eastAsia="黑体"/>
                <w:szCs w:val="22"/>
              </w:rPr>
            </w:pPr>
            <w:r>
              <w:rPr>
                <w:rFonts w:hint="eastAsia" w:ascii="黑体" w:hAnsi="黑体" w:eastAsia="黑体"/>
                <w:szCs w:val="22"/>
              </w:rPr>
              <w:t>工艺类型</w:t>
            </w:r>
          </w:p>
        </w:tc>
        <w:tc>
          <w:tcPr>
            <w:tcW w:w="5528" w:type="dxa"/>
            <w:vAlign w:val="center"/>
          </w:tcPr>
          <w:p>
            <w:pPr>
              <w:pStyle w:val="68"/>
              <w:jc w:val="center"/>
              <w:rPr>
                <w:rFonts w:ascii="黑体" w:hAnsi="黑体" w:eastAsia="黑体"/>
                <w:szCs w:val="22"/>
              </w:rPr>
            </w:pPr>
            <w:r>
              <w:rPr>
                <w:rFonts w:hint="eastAsia" w:ascii="黑体" w:hAnsi="黑体" w:eastAsia="黑体"/>
                <w:szCs w:val="22"/>
              </w:rPr>
              <w:t>必选监测点位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1</w:t>
            </w:r>
          </w:p>
        </w:tc>
        <w:tc>
          <w:tcPr>
            <w:tcW w:w="2004" w:type="dxa"/>
            <w:vAlign w:val="center"/>
          </w:tcPr>
          <w:p>
            <w:pPr>
              <w:pStyle w:val="68"/>
              <w:jc w:val="center"/>
              <w:rPr>
                <w:szCs w:val="22"/>
              </w:rPr>
            </w:pPr>
            <w:r>
              <w:rPr>
                <w:rFonts w:hint="eastAsia"/>
                <w:szCs w:val="22"/>
              </w:rPr>
              <w:t>除尘设施类</w:t>
            </w:r>
          </w:p>
        </w:tc>
        <w:tc>
          <w:tcPr>
            <w:tcW w:w="5528" w:type="dxa"/>
            <w:vAlign w:val="center"/>
          </w:tcPr>
          <w:p>
            <w:pPr>
              <w:pStyle w:val="68"/>
              <w:rPr>
                <w:szCs w:val="22"/>
              </w:rPr>
            </w:pPr>
            <w:r>
              <w:rPr>
                <w:rFonts w:hint="eastAsia"/>
                <w:szCs w:val="22"/>
              </w:rPr>
              <w:t>袋式除尘风机、电除尘器、电袋复合除尘器等。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2</w:t>
            </w:r>
          </w:p>
        </w:tc>
        <w:tc>
          <w:tcPr>
            <w:tcW w:w="2004" w:type="dxa"/>
            <w:vAlign w:val="center"/>
          </w:tcPr>
          <w:p>
            <w:pPr>
              <w:pStyle w:val="68"/>
              <w:jc w:val="center"/>
              <w:rPr>
                <w:szCs w:val="22"/>
              </w:rPr>
            </w:pPr>
            <w:r>
              <w:rPr>
                <w:rFonts w:hint="eastAsia"/>
                <w:szCs w:val="22"/>
              </w:rPr>
              <w:t>脱硫设施类</w:t>
            </w:r>
          </w:p>
        </w:tc>
        <w:tc>
          <w:tcPr>
            <w:tcW w:w="5528" w:type="dxa"/>
            <w:vAlign w:val="center"/>
          </w:tcPr>
          <w:p>
            <w:pPr>
              <w:pStyle w:val="68"/>
              <w:rPr>
                <w:szCs w:val="22"/>
              </w:rPr>
            </w:pPr>
            <w:r>
              <w:rPr>
                <w:rFonts w:hint="eastAsia"/>
                <w:szCs w:val="22"/>
              </w:rPr>
              <w:t>脱硫风机、吸收塔循环泵、浆液循环泵等、离心机等。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3</w:t>
            </w:r>
          </w:p>
        </w:tc>
        <w:tc>
          <w:tcPr>
            <w:tcW w:w="2004" w:type="dxa"/>
            <w:vAlign w:val="center"/>
          </w:tcPr>
          <w:p>
            <w:pPr>
              <w:pStyle w:val="68"/>
              <w:jc w:val="center"/>
              <w:rPr>
                <w:szCs w:val="22"/>
              </w:rPr>
            </w:pPr>
            <w:r>
              <w:rPr>
                <w:rFonts w:hint="eastAsia"/>
                <w:szCs w:val="22"/>
              </w:rPr>
              <w:t>脱硝设施类</w:t>
            </w:r>
          </w:p>
        </w:tc>
        <w:tc>
          <w:tcPr>
            <w:tcW w:w="5528" w:type="dxa"/>
            <w:vAlign w:val="center"/>
          </w:tcPr>
          <w:p>
            <w:pPr>
              <w:pStyle w:val="68"/>
              <w:rPr>
                <w:szCs w:val="22"/>
              </w:rPr>
            </w:pPr>
            <w:r>
              <w:rPr>
                <w:rFonts w:hint="eastAsia"/>
                <w:szCs w:val="22"/>
              </w:rPr>
              <w:t>稀释风机、稀释水泵、脱硝风机、循环泵等。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4</w:t>
            </w:r>
          </w:p>
        </w:tc>
        <w:tc>
          <w:tcPr>
            <w:tcW w:w="2004" w:type="dxa"/>
            <w:vAlign w:val="center"/>
          </w:tcPr>
          <w:p>
            <w:pPr>
              <w:pStyle w:val="68"/>
              <w:jc w:val="center"/>
              <w:rPr>
                <w:szCs w:val="22"/>
              </w:rPr>
            </w:pPr>
            <w:r>
              <w:rPr>
                <w:rFonts w:hint="eastAsia"/>
                <w:szCs w:val="22"/>
              </w:rPr>
              <w:t>有机废气收集治理设施类</w:t>
            </w:r>
          </w:p>
        </w:tc>
        <w:tc>
          <w:tcPr>
            <w:tcW w:w="5528" w:type="dxa"/>
            <w:vAlign w:val="center"/>
          </w:tcPr>
          <w:p>
            <w:pPr>
              <w:pStyle w:val="68"/>
              <w:rPr>
                <w:szCs w:val="22"/>
              </w:rPr>
            </w:pPr>
            <w:r>
              <w:rPr>
                <w:rFonts w:hint="eastAsia"/>
                <w:szCs w:val="22"/>
              </w:rPr>
              <w:t>UV光催化氧化器、RTO风机、助燃风机、吸收塔循环泵、冷凝器等。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5</w:t>
            </w:r>
          </w:p>
        </w:tc>
        <w:tc>
          <w:tcPr>
            <w:tcW w:w="2004" w:type="dxa"/>
            <w:vAlign w:val="center"/>
          </w:tcPr>
          <w:p>
            <w:pPr>
              <w:pStyle w:val="68"/>
              <w:jc w:val="center"/>
              <w:rPr>
                <w:szCs w:val="22"/>
              </w:rPr>
            </w:pPr>
            <w:r>
              <w:rPr>
                <w:rFonts w:hint="eastAsia"/>
                <w:szCs w:val="22"/>
              </w:rPr>
              <w:t>恶臭治理设施类</w:t>
            </w:r>
          </w:p>
        </w:tc>
        <w:tc>
          <w:tcPr>
            <w:tcW w:w="5528" w:type="dxa"/>
            <w:vAlign w:val="center"/>
          </w:tcPr>
          <w:p>
            <w:pPr>
              <w:pStyle w:val="68"/>
              <w:rPr>
                <w:szCs w:val="22"/>
              </w:rPr>
            </w:pPr>
            <w:r>
              <w:rPr>
                <w:rFonts w:hint="eastAsia"/>
                <w:szCs w:val="22"/>
              </w:rPr>
              <w:t xml:space="preserve">吸收塔循环泵、RTO风机、活性炭吸附风机等。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98" w:type="dxa"/>
            <w:vAlign w:val="center"/>
          </w:tcPr>
          <w:p>
            <w:pPr>
              <w:pStyle w:val="68"/>
              <w:jc w:val="center"/>
              <w:rPr>
                <w:szCs w:val="22"/>
              </w:rPr>
            </w:pPr>
            <w:r>
              <w:rPr>
                <w:rFonts w:hint="eastAsia"/>
                <w:szCs w:val="22"/>
              </w:rPr>
              <w:t>6</w:t>
            </w:r>
          </w:p>
        </w:tc>
        <w:tc>
          <w:tcPr>
            <w:tcW w:w="2004" w:type="dxa"/>
            <w:vAlign w:val="center"/>
          </w:tcPr>
          <w:p>
            <w:pPr>
              <w:pStyle w:val="68"/>
              <w:jc w:val="center"/>
              <w:rPr>
                <w:szCs w:val="22"/>
              </w:rPr>
            </w:pPr>
            <w:r>
              <w:rPr>
                <w:rFonts w:hint="eastAsia"/>
                <w:szCs w:val="22"/>
              </w:rPr>
              <w:t>其它类</w:t>
            </w:r>
          </w:p>
        </w:tc>
        <w:tc>
          <w:tcPr>
            <w:tcW w:w="5528" w:type="dxa"/>
            <w:vAlign w:val="center"/>
          </w:tcPr>
          <w:p>
            <w:pPr>
              <w:pStyle w:val="68"/>
              <w:rPr>
                <w:szCs w:val="22"/>
              </w:rPr>
            </w:pPr>
            <w:r>
              <w:rPr>
                <w:rFonts w:hint="eastAsia"/>
                <w:szCs w:val="22"/>
              </w:rPr>
              <w:t>参见排污许可证或环境影响评价报告列出的主要治污设施。</w:t>
            </w:r>
          </w:p>
        </w:tc>
      </w:tr>
    </w:tbl>
    <w:p>
      <w:pPr>
        <w:pStyle w:val="68"/>
        <w:numPr>
          <w:ilvl w:val="0"/>
          <w:numId w:val="0"/>
        </w:numPr>
      </w:pPr>
    </w:p>
    <w:p>
      <w:pPr>
        <w:pStyle w:val="68"/>
        <w:numPr>
          <w:ilvl w:val="0"/>
          <w:numId w:val="0"/>
        </w:numPr>
        <w:rPr>
          <w:szCs w:val="22"/>
        </w:rPr>
      </w:pPr>
      <w:r>
        <w:rPr>
          <w:szCs w:val="22"/>
        </w:rPr>
        <w:br w:type="page"/>
      </w:r>
      <w:bookmarkStart w:id="34" w:name="_Toc5172504"/>
    </w:p>
    <w:p>
      <w:pPr>
        <w:pStyle w:val="115"/>
        <w:numPr>
          <w:ilvl w:val="0"/>
          <w:numId w:val="0"/>
        </w:numPr>
        <w:tabs>
          <w:tab w:val="left" w:pos="360"/>
        </w:tabs>
      </w:pPr>
      <w:r>
        <w:rPr>
          <w:rFonts w:hint="eastAsia"/>
        </w:rPr>
        <w:t>附录C  涉气排污单位用电监管信息备案表</w:t>
      </w:r>
    </w:p>
    <w:p>
      <w:pPr>
        <w:pStyle w:val="15"/>
        <w:ind w:left="0"/>
        <w:jc w:val="center"/>
        <w:rPr>
          <w:rFonts w:ascii="黑体" w:hAnsi="黑体" w:eastAsia="黑体"/>
          <w:lang w:eastAsia="zh-CN"/>
        </w:rPr>
      </w:pPr>
      <w:r>
        <w:rPr>
          <w:rFonts w:hint="eastAsia" w:ascii="黑体" w:hAnsi="黑体" w:eastAsia="黑体"/>
          <w:lang w:eastAsia="zh-CN"/>
        </w:rPr>
        <w:t>表1  涉气排污单位基本信息表（填写样例）</w:t>
      </w:r>
    </w:p>
    <w:tbl>
      <w:tblPr>
        <w:tblStyle w:val="41"/>
        <w:tblW w:w="10065" w:type="dxa"/>
        <w:tblInd w:w="-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2"/>
        <w:gridCol w:w="1130"/>
        <w:gridCol w:w="432"/>
        <w:gridCol w:w="419"/>
        <w:gridCol w:w="6"/>
        <w:gridCol w:w="567"/>
        <w:gridCol w:w="422"/>
        <w:gridCol w:w="279"/>
        <w:gridCol w:w="8"/>
        <w:gridCol w:w="710"/>
        <w:gridCol w:w="1141"/>
        <w:gridCol w:w="417"/>
        <w:gridCol w:w="567"/>
        <w:gridCol w:w="7"/>
        <w:gridCol w:w="1129"/>
        <w:gridCol w:w="991"/>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7"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污染源单位名称</w:t>
            </w:r>
          </w:p>
        </w:tc>
        <w:tc>
          <w:tcPr>
            <w:tcW w:w="1130"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热电有限公司</w:t>
            </w:r>
          </w:p>
        </w:tc>
        <w:tc>
          <w:tcPr>
            <w:tcW w:w="851" w:type="dxa"/>
            <w:gridSpan w:val="2"/>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社会信用代码</w:t>
            </w:r>
          </w:p>
        </w:tc>
        <w:tc>
          <w:tcPr>
            <w:tcW w:w="995" w:type="dxa"/>
            <w:gridSpan w:val="3"/>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913208006085XXXXXX</w:t>
            </w:r>
          </w:p>
        </w:tc>
        <w:tc>
          <w:tcPr>
            <w:tcW w:w="997"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地址</w:t>
            </w:r>
          </w:p>
        </w:tc>
        <w:tc>
          <w:tcPr>
            <w:tcW w:w="1141"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XX路XX号</w:t>
            </w:r>
          </w:p>
        </w:tc>
        <w:tc>
          <w:tcPr>
            <w:tcW w:w="991"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行业类型</w:t>
            </w:r>
          </w:p>
        </w:tc>
        <w:tc>
          <w:tcPr>
            <w:tcW w:w="1129"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电力、热力生产和供应业</w:t>
            </w:r>
          </w:p>
        </w:tc>
        <w:tc>
          <w:tcPr>
            <w:tcW w:w="991"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排口数量</w:t>
            </w:r>
          </w:p>
        </w:tc>
        <w:tc>
          <w:tcPr>
            <w:tcW w:w="708"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7"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法人代表</w:t>
            </w:r>
          </w:p>
        </w:tc>
        <w:tc>
          <w:tcPr>
            <w:tcW w:w="1130"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w:t>
            </w:r>
          </w:p>
        </w:tc>
        <w:tc>
          <w:tcPr>
            <w:tcW w:w="851" w:type="dxa"/>
            <w:gridSpan w:val="2"/>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联系人</w:t>
            </w:r>
          </w:p>
        </w:tc>
        <w:tc>
          <w:tcPr>
            <w:tcW w:w="995" w:type="dxa"/>
            <w:gridSpan w:val="3"/>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XXX</w:t>
            </w:r>
          </w:p>
        </w:tc>
        <w:tc>
          <w:tcPr>
            <w:tcW w:w="997"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联系电话</w:t>
            </w:r>
          </w:p>
        </w:tc>
        <w:tc>
          <w:tcPr>
            <w:tcW w:w="1141"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3641532XXX</w:t>
            </w:r>
          </w:p>
        </w:tc>
        <w:tc>
          <w:tcPr>
            <w:tcW w:w="991"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施工单位名称</w:t>
            </w:r>
          </w:p>
        </w:tc>
        <w:tc>
          <w:tcPr>
            <w:tcW w:w="1129"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有限公司</w:t>
            </w:r>
          </w:p>
        </w:tc>
        <w:tc>
          <w:tcPr>
            <w:tcW w:w="991"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施工时间</w:t>
            </w:r>
          </w:p>
        </w:tc>
        <w:tc>
          <w:tcPr>
            <w:tcW w:w="708"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019-01-01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7"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注册资金（万元）</w:t>
            </w:r>
          </w:p>
        </w:tc>
        <w:tc>
          <w:tcPr>
            <w:tcW w:w="1130"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000</w:t>
            </w:r>
          </w:p>
        </w:tc>
        <w:tc>
          <w:tcPr>
            <w:tcW w:w="851" w:type="dxa"/>
            <w:gridSpan w:val="2"/>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年产值（万元）</w:t>
            </w:r>
          </w:p>
        </w:tc>
        <w:tc>
          <w:tcPr>
            <w:tcW w:w="995" w:type="dxa"/>
            <w:gridSpan w:val="3"/>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000</w:t>
            </w:r>
          </w:p>
        </w:tc>
        <w:tc>
          <w:tcPr>
            <w:tcW w:w="997"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年产量</w:t>
            </w:r>
          </w:p>
        </w:tc>
        <w:tc>
          <w:tcPr>
            <w:tcW w:w="1141"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50MKW</w:t>
            </w:r>
          </w:p>
        </w:tc>
        <w:tc>
          <w:tcPr>
            <w:tcW w:w="991"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年废气排放量（吨）</w:t>
            </w:r>
          </w:p>
        </w:tc>
        <w:tc>
          <w:tcPr>
            <w:tcW w:w="1129"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5</w:t>
            </w:r>
            <w:r>
              <w:rPr>
                <w:rFonts w:cs="Tahoma" w:asciiTheme="minorEastAsia" w:hAnsiTheme="minorEastAsia"/>
                <w:szCs w:val="21"/>
              </w:rPr>
              <w:t>0</w:t>
            </w:r>
          </w:p>
        </w:tc>
        <w:tc>
          <w:tcPr>
            <w:tcW w:w="991"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年用电量（万度）</w:t>
            </w:r>
          </w:p>
        </w:tc>
        <w:tc>
          <w:tcPr>
            <w:tcW w:w="708"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7"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经度</w:t>
            </w:r>
          </w:p>
        </w:tc>
        <w:tc>
          <w:tcPr>
            <w:tcW w:w="1130"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121°20’1”</w:t>
            </w:r>
          </w:p>
        </w:tc>
        <w:tc>
          <w:tcPr>
            <w:tcW w:w="851" w:type="dxa"/>
            <w:gridSpan w:val="2"/>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纬度</w:t>
            </w:r>
          </w:p>
        </w:tc>
        <w:tc>
          <w:tcPr>
            <w:tcW w:w="995" w:type="dxa"/>
            <w:gridSpan w:val="3"/>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31°15’6”</w:t>
            </w:r>
          </w:p>
        </w:tc>
        <w:tc>
          <w:tcPr>
            <w:tcW w:w="997"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排污许可证编号</w:t>
            </w:r>
          </w:p>
        </w:tc>
        <w:tc>
          <w:tcPr>
            <w:tcW w:w="1141"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913208006085XXXXXX</w:t>
            </w:r>
          </w:p>
        </w:tc>
        <w:tc>
          <w:tcPr>
            <w:tcW w:w="991" w:type="dxa"/>
            <w:gridSpan w:val="3"/>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p>
        </w:tc>
        <w:tc>
          <w:tcPr>
            <w:tcW w:w="1129"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p>
        </w:tc>
        <w:tc>
          <w:tcPr>
            <w:tcW w:w="991"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p>
        </w:tc>
        <w:tc>
          <w:tcPr>
            <w:tcW w:w="708" w:type="dxa"/>
            <w:shd w:val="clear" w:color="auto" w:fill="auto"/>
            <w:tcMar>
              <w:top w:w="12" w:type="dxa"/>
              <w:left w:w="12" w:type="dxa"/>
              <w:bottom w:w="0" w:type="dxa"/>
              <w:right w:w="12" w:type="dxa"/>
            </w:tcMar>
            <w:vAlign w:val="center"/>
          </w:tcPr>
          <w:p>
            <w:pPr>
              <w:adjustRightInd w:val="0"/>
              <w:snapToGrid w:val="0"/>
              <w:jc w:val="center"/>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4"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经营范围</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生产电力（凭电力业务许可证经营）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4"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主要产品</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电、蒸汽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4"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生产工艺</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煤炭→炉内燃烧→加热水蒸汽→推动汽轮机做功→带动发电机发电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4"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ascii="黑体" w:hAnsi="黑体" w:eastAsia="黑体" w:cs="Tahoma"/>
                <w:b/>
                <w:szCs w:val="21"/>
              </w:rPr>
              <w:t>主要污染物</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二氧化硫、氮氧化物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治理工艺</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废气源→脱硝装置→电除尘→脱硫吸收塔→风机→达标排放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7"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主要设备</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锅炉、汽机、发电机等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5" w:hRule="atLeast"/>
        </w:trPr>
        <w:tc>
          <w:tcPr>
            <w:tcW w:w="1132" w:type="dxa"/>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ascii="黑体" w:hAnsi="黑体" w:eastAsia="黑体" w:cs="Tahoma"/>
                <w:b/>
                <w:szCs w:val="21"/>
              </w:rPr>
              <w:t>MN</w:t>
            </w:r>
            <w:r>
              <w:rPr>
                <w:rFonts w:hint="eastAsia" w:ascii="黑体" w:hAnsi="黑体" w:eastAsia="黑体" w:cs="Tahoma"/>
                <w:b/>
                <w:szCs w:val="21"/>
              </w:rPr>
              <w:t>号</w:t>
            </w:r>
          </w:p>
        </w:tc>
        <w:tc>
          <w:tcPr>
            <w:tcW w:w="8933" w:type="dxa"/>
            <w:gridSpan w:val="16"/>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cs="Tahoma" w:asciiTheme="minorEastAsia" w:hAnsiTheme="minorEastAsia"/>
                <w:szCs w:val="21"/>
              </w:rPr>
              <w:t>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restart"/>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供电线路</w:t>
            </w: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0</w:t>
            </w:r>
            <w:r>
              <w:rPr>
                <w:rFonts w:hint="eastAsia" w:cs="Tahoma" w:asciiTheme="minorEastAsia" w:hAnsiTheme="minorEastAsia"/>
                <w:szCs w:val="21"/>
              </w:rPr>
              <w:t>kV</w:t>
            </w:r>
            <w:r>
              <w:rPr>
                <w:rFonts w:cs="Tahoma" w:asciiTheme="minorEastAsia" w:hAnsiTheme="minorEastAsia"/>
                <w:szCs w:val="21"/>
              </w:rPr>
              <w:t>XX</w:t>
            </w:r>
            <w:r>
              <w:rPr>
                <w:rFonts w:hint="eastAsia" w:cs="Tahoma" w:asciiTheme="minorEastAsia" w:hAnsiTheme="minorEastAsia"/>
                <w:szCs w:val="21"/>
              </w:rPr>
              <w:t>线</w:t>
            </w:r>
          </w:p>
        </w:tc>
        <w:tc>
          <w:tcPr>
            <w:tcW w:w="857" w:type="dxa"/>
            <w:gridSpan w:val="3"/>
            <w:vMerge w:val="restart"/>
            <w:shd w:val="clear" w:color="auto" w:fill="auto"/>
            <w:vAlign w:val="center"/>
          </w:tcPr>
          <w:p>
            <w:pPr>
              <w:adjustRightInd w:val="0"/>
              <w:snapToGrid w:val="0"/>
              <w:jc w:val="center"/>
              <w:rPr>
                <w:rFonts w:ascii="黑体" w:hAnsi="黑体" w:eastAsia="黑体" w:cs="Tahoma"/>
                <w:szCs w:val="21"/>
              </w:rPr>
            </w:pPr>
            <w:r>
              <w:rPr>
                <w:rFonts w:hint="eastAsia" w:ascii="黑体" w:hAnsi="黑体" w:eastAsia="黑体" w:cs="Tahoma"/>
                <w:szCs w:val="21"/>
              </w:rPr>
              <w:t>供电电压</w:t>
            </w:r>
          </w:p>
        </w:tc>
        <w:tc>
          <w:tcPr>
            <w:tcW w:w="1268" w:type="dxa"/>
            <w:gridSpan w:val="3"/>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0</w:t>
            </w:r>
            <w:r>
              <w:rPr>
                <w:rFonts w:hint="eastAsia" w:cs="Tahoma" w:asciiTheme="minorEastAsia" w:hAnsiTheme="minorEastAsia"/>
                <w:szCs w:val="21"/>
              </w:rPr>
              <w:t>kV</w:t>
            </w:r>
          </w:p>
        </w:tc>
        <w:tc>
          <w:tcPr>
            <w:tcW w:w="718" w:type="dxa"/>
            <w:gridSpan w:val="2"/>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受电容量</w:t>
            </w:r>
          </w:p>
        </w:tc>
        <w:tc>
          <w:tcPr>
            <w:tcW w:w="1558" w:type="dxa"/>
            <w:gridSpan w:val="2"/>
            <w:shd w:val="clear" w:color="auto" w:fill="auto"/>
            <w:vAlign w:val="center"/>
          </w:tcPr>
          <w:p>
            <w:pPr>
              <w:adjustRightInd w:val="0"/>
              <w:snapToGrid w:val="0"/>
              <w:jc w:val="left"/>
              <w:rPr>
                <w:rFonts w:cs="Tahoma" w:asciiTheme="minorEastAsia" w:hAnsiTheme="minorEastAsia"/>
                <w:szCs w:val="21"/>
              </w:rPr>
            </w:pPr>
            <w:r>
              <w:rPr>
                <w:rFonts w:cs="Tahoma" w:asciiTheme="minorEastAsia" w:hAnsiTheme="minorEastAsia"/>
                <w:szCs w:val="21"/>
              </w:rPr>
              <w:t>1250</w:t>
            </w:r>
            <w:r>
              <w:rPr>
                <w:rFonts w:hint="eastAsia" w:cs="Tahoma" w:asciiTheme="minorEastAsia" w:hAnsiTheme="minorEastAsia"/>
                <w:szCs w:val="21"/>
              </w:rPr>
              <w:t>kVA</w:t>
            </w:r>
          </w:p>
        </w:tc>
        <w:tc>
          <w:tcPr>
            <w:tcW w:w="567" w:type="dxa"/>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电源性质</w:t>
            </w:r>
          </w:p>
        </w:tc>
        <w:tc>
          <w:tcPr>
            <w:tcW w:w="1136" w:type="dxa"/>
            <w:gridSpan w:val="2"/>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主供</w:t>
            </w:r>
          </w:p>
        </w:tc>
        <w:tc>
          <w:tcPr>
            <w:tcW w:w="991" w:type="dxa"/>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备注</w:t>
            </w:r>
          </w:p>
        </w:tc>
        <w:tc>
          <w:tcPr>
            <w:tcW w:w="708" w:type="dxa"/>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p>
        </w:tc>
        <w:tc>
          <w:tcPr>
            <w:tcW w:w="857" w:type="dxa"/>
            <w:gridSpan w:val="3"/>
            <w:vMerge w:val="continue"/>
            <w:shd w:val="clear" w:color="auto" w:fill="auto"/>
            <w:vAlign w:val="center"/>
          </w:tcPr>
          <w:p>
            <w:pPr>
              <w:adjustRightInd w:val="0"/>
              <w:snapToGrid w:val="0"/>
              <w:jc w:val="center"/>
              <w:rPr>
                <w:rFonts w:cs="Tahoma" w:asciiTheme="minorEastAsia" w:hAnsiTheme="minorEastAsia"/>
                <w:szCs w:val="21"/>
              </w:rPr>
            </w:pPr>
          </w:p>
        </w:tc>
        <w:tc>
          <w:tcPr>
            <w:tcW w:w="1268" w:type="dxa"/>
            <w:gridSpan w:val="3"/>
            <w:shd w:val="clear" w:color="auto" w:fill="auto"/>
            <w:vAlign w:val="center"/>
          </w:tcPr>
          <w:p>
            <w:pPr>
              <w:adjustRightInd w:val="0"/>
              <w:snapToGrid w:val="0"/>
              <w:jc w:val="left"/>
              <w:rPr>
                <w:rFonts w:cs="Tahoma" w:asciiTheme="minorEastAsia" w:hAnsiTheme="minorEastAsia"/>
                <w:szCs w:val="21"/>
              </w:rPr>
            </w:pPr>
          </w:p>
        </w:tc>
        <w:tc>
          <w:tcPr>
            <w:tcW w:w="718" w:type="dxa"/>
            <w:gridSpan w:val="2"/>
            <w:vMerge w:val="continue"/>
            <w:shd w:val="clear" w:color="auto" w:fill="auto"/>
            <w:vAlign w:val="center"/>
          </w:tcPr>
          <w:p>
            <w:pPr>
              <w:adjustRightInd w:val="0"/>
              <w:snapToGrid w:val="0"/>
              <w:jc w:val="center"/>
              <w:rPr>
                <w:rFonts w:ascii="黑体" w:hAnsi="黑体" w:eastAsia="黑体" w:cs="Tahoma"/>
                <w:b/>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b/>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p>
        </w:tc>
        <w:tc>
          <w:tcPr>
            <w:tcW w:w="991" w:type="dxa"/>
            <w:vMerge w:val="continue"/>
            <w:shd w:val="clear" w:color="auto" w:fill="auto"/>
            <w:vAlign w:val="center"/>
          </w:tcPr>
          <w:p>
            <w:pPr>
              <w:adjustRightInd w:val="0"/>
              <w:snapToGrid w:val="0"/>
              <w:jc w:val="center"/>
              <w:rPr>
                <w:rFonts w:ascii="黑体" w:hAnsi="黑体" w:eastAsia="黑体" w:cs="Tahoma"/>
                <w:b/>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p>
        </w:tc>
        <w:tc>
          <w:tcPr>
            <w:tcW w:w="857" w:type="dxa"/>
            <w:gridSpan w:val="3"/>
            <w:vMerge w:val="continue"/>
            <w:shd w:val="clear" w:color="auto" w:fill="auto"/>
            <w:vAlign w:val="center"/>
          </w:tcPr>
          <w:p>
            <w:pPr>
              <w:adjustRightInd w:val="0"/>
              <w:snapToGrid w:val="0"/>
              <w:jc w:val="center"/>
              <w:rPr>
                <w:rFonts w:cs="Tahoma" w:asciiTheme="minorEastAsia" w:hAnsiTheme="minorEastAsia"/>
                <w:szCs w:val="21"/>
              </w:rPr>
            </w:pPr>
          </w:p>
        </w:tc>
        <w:tc>
          <w:tcPr>
            <w:tcW w:w="1268" w:type="dxa"/>
            <w:gridSpan w:val="3"/>
            <w:shd w:val="clear" w:color="auto" w:fill="auto"/>
            <w:vAlign w:val="center"/>
          </w:tcPr>
          <w:p>
            <w:pPr>
              <w:adjustRightInd w:val="0"/>
              <w:snapToGrid w:val="0"/>
              <w:jc w:val="left"/>
              <w:rPr>
                <w:rFonts w:cs="Tahoma" w:asciiTheme="minorEastAsia" w:hAnsiTheme="minorEastAsia"/>
                <w:szCs w:val="21"/>
              </w:rPr>
            </w:pPr>
          </w:p>
        </w:tc>
        <w:tc>
          <w:tcPr>
            <w:tcW w:w="718" w:type="dxa"/>
            <w:gridSpan w:val="2"/>
            <w:vMerge w:val="continue"/>
            <w:shd w:val="clear" w:color="auto" w:fill="auto"/>
            <w:vAlign w:val="center"/>
          </w:tcPr>
          <w:p>
            <w:pPr>
              <w:adjustRightInd w:val="0"/>
              <w:snapToGrid w:val="0"/>
              <w:jc w:val="center"/>
              <w:rPr>
                <w:rFonts w:ascii="黑体" w:hAnsi="黑体" w:eastAsia="黑体" w:cs="Tahoma"/>
                <w:b/>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b/>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p>
        </w:tc>
        <w:tc>
          <w:tcPr>
            <w:tcW w:w="991" w:type="dxa"/>
            <w:vMerge w:val="continue"/>
            <w:shd w:val="clear" w:color="auto" w:fill="auto"/>
            <w:vAlign w:val="center"/>
          </w:tcPr>
          <w:p>
            <w:pPr>
              <w:adjustRightInd w:val="0"/>
              <w:snapToGrid w:val="0"/>
              <w:jc w:val="center"/>
              <w:rPr>
                <w:rFonts w:ascii="黑体" w:hAnsi="黑体" w:eastAsia="黑体" w:cs="Tahoma"/>
                <w:b/>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b/>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p>
        </w:tc>
        <w:tc>
          <w:tcPr>
            <w:tcW w:w="857" w:type="dxa"/>
            <w:gridSpan w:val="3"/>
            <w:vMerge w:val="continue"/>
            <w:shd w:val="clear" w:color="auto" w:fill="auto"/>
            <w:vAlign w:val="center"/>
          </w:tcPr>
          <w:p>
            <w:pPr>
              <w:adjustRightInd w:val="0"/>
              <w:snapToGrid w:val="0"/>
              <w:jc w:val="center"/>
              <w:rPr>
                <w:rFonts w:cs="Tahoma" w:asciiTheme="minorEastAsia" w:hAnsiTheme="minorEastAsia"/>
                <w:szCs w:val="21"/>
              </w:rPr>
            </w:pPr>
          </w:p>
        </w:tc>
        <w:tc>
          <w:tcPr>
            <w:tcW w:w="1268" w:type="dxa"/>
            <w:gridSpan w:val="3"/>
            <w:shd w:val="clear" w:color="auto" w:fill="auto"/>
            <w:vAlign w:val="center"/>
          </w:tcPr>
          <w:p>
            <w:pPr>
              <w:adjustRightInd w:val="0"/>
              <w:snapToGrid w:val="0"/>
              <w:jc w:val="left"/>
              <w:rPr>
                <w:rFonts w:cs="Tahoma" w:asciiTheme="minorEastAsia" w:hAnsiTheme="minorEastAsia"/>
                <w:szCs w:val="21"/>
              </w:rPr>
            </w:pPr>
          </w:p>
        </w:tc>
        <w:tc>
          <w:tcPr>
            <w:tcW w:w="718" w:type="dxa"/>
            <w:gridSpan w:val="2"/>
            <w:vMerge w:val="continue"/>
            <w:shd w:val="clear" w:color="auto" w:fill="auto"/>
            <w:vAlign w:val="center"/>
          </w:tcPr>
          <w:p>
            <w:pPr>
              <w:adjustRightInd w:val="0"/>
              <w:snapToGrid w:val="0"/>
              <w:jc w:val="center"/>
              <w:rPr>
                <w:rFonts w:ascii="黑体" w:hAnsi="黑体" w:eastAsia="黑体" w:cs="Tahoma"/>
                <w:b/>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b/>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p>
        </w:tc>
        <w:tc>
          <w:tcPr>
            <w:tcW w:w="991" w:type="dxa"/>
            <w:vMerge w:val="continue"/>
            <w:shd w:val="clear" w:color="auto" w:fill="auto"/>
            <w:vAlign w:val="center"/>
          </w:tcPr>
          <w:p>
            <w:pPr>
              <w:adjustRightInd w:val="0"/>
              <w:snapToGrid w:val="0"/>
              <w:jc w:val="center"/>
              <w:rPr>
                <w:rFonts w:ascii="黑体" w:hAnsi="黑体" w:eastAsia="黑体" w:cs="Tahoma"/>
                <w:b/>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restart"/>
            <w:shd w:val="clear" w:color="auto" w:fill="auto"/>
            <w:tcMar>
              <w:top w:w="12" w:type="dxa"/>
              <w:left w:w="12" w:type="dxa"/>
              <w:bottom w:w="0" w:type="dxa"/>
              <w:right w:w="12" w:type="dxa"/>
            </w:tcMar>
            <w:vAlign w:val="center"/>
          </w:tcPr>
          <w:p>
            <w:pPr>
              <w:adjustRightInd w:val="0"/>
              <w:snapToGrid w:val="0"/>
              <w:rPr>
                <w:rFonts w:ascii="黑体" w:hAnsi="黑体" w:eastAsia="黑体" w:cs="Tahoma"/>
                <w:b/>
                <w:szCs w:val="21"/>
              </w:rPr>
            </w:pPr>
            <w:r>
              <w:rPr>
                <w:rFonts w:hint="eastAsia" w:ascii="黑体" w:hAnsi="黑体" w:eastAsia="黑体" w:cs="Tahoma"/>
                <w:b/>
                <w:szCs w:val="21"/>
              </w:rPr>
              <w:t>生产线总表</w:t>
            </w: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线总表</w:t>
            </w:r>
            <w:r>
              <w:rPr>
                <w:rFonts w:cs="Tahoma" w:asciiTheme="minorEastAsia" w:hAnsiTheme="minorEastAsia"/>
                <w:szCs w:val="21"/>
              </w:rPr>
              <w:t>1</w:t>
            </w:r>
          </w:p>
        </w:tc>
        <w:tc>
          <w:tcPr>
            <w:tcW w:w="432" w:type="dxa"/>
            <w:vMerge w:val="restart"/>
            <w:shd w:val="clear" w:color="auto" w:fill="FFFFFF" w:themeFill="background1"/>
            <w:vAlign w:val="center"/>
          </w:tcPr>
          <w:p>
            <w:pPr>
              <w:adjustRightInd w:val="0"/>
              <w:snapToGrid w:val="0"/>
              <w:jc w:val="center"/>
              <w:rPr>
                <w:rFonts w:cs="Tahoma" w:asciiTheme="minorEastAsia" w:hAnsiTheme="minorEastAsia"/>
                <w:szCs w:val="21"/>
              </w:rPr>
            </w:pPr>
            <w:r>
              <w:rPr>
                <w:rFonts w:hint="eastAsia" w:ascii="黑体" w:hAnsi="黑体" w:eastAsia="黑体" w:cs="Tahoma"/>
                <w:szCs w:val="21"/>
              </w:rPr>
              <w:t>监测点位统一编码（备案生成）</w:t>
            </w:r>
          </w:p>
        </w:tc>
        <w:tc>
          <w:tcPr>
            <w:tcW w:w="425" w:type="dxa"/>
            <w:gridSpan w:val="2"/>
            <w:shd w:val="clear" w:color="auto" w:fill="FFFFFF" w:themeFill="background1"/>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567" w:type="dxa"/>
            <w:vMerge w:val="restart"/>
            <w:shd w:val="clear" w:color="auto" w:fill="auto"/>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输入线路</w:t>
            </w:r>
          </w:p>
        </w:tc>
        <w:tc>
          <w:tcPr>
            <w:tcW w:w="709" w:type="dxa"/>
            <w:gridSpan w:val="3"/>
            <w:shd w:val="clear" w:color="auto" w:fill="auto"/>
            <w:vAlign w:val="center"/>
          </w:tcPr>
          <w:p>
            <w:pPr>
              <w:adjustRightInd w:val="0"/>
              <w:snapToGrid w:val="0"/>
              <w:jc w:val="left"/>
              <w:rPr>
                <w:rFonts w:cs="Tahoma" w:asciiTheme="minorEastAsia" w:hAnsiTheme="minorEastAsia"/>
                <w:szCs w:val="21"/>
              </w:rPr>
            </w:pPr>
            <w:r>
              <w:rPr>
                <w:rFonts w:cs="Tahoma" w:asciiTheme="minorEastAsia" w:hAnsiTheme="minorEastAsia"/>
                <w:szCs w:val="21"/>
              </w:rPr>
              <w:t>XX</w:t>
            </w:r>
            <w:r>
              <w:rPr>
                <w:rFonts w:hint="eastAsia" w:cs="Tahoma" w:asciiTheme="minorEastAsia" w:hAnsiTheme="minorEastAsia"/>
                <w:szCs w:val="21"/>
              </w:rPr>
              <w:t>线</w:t>
            </w:r>
          </w:p>
        </w:tc>
        <w:tc>
          <w:tcPr>
            <w:tcW w:w="710" w:type="dxa"/>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计量方式</w:t>
            </w:r>
          </w:p>
        </w:tc>
        <w:tc>
          <w:tcPr>
            <w:tcW w:w="1558" w:type="dxa"/>
            <w:gridSpan w:val="2"/>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高供高计</w:t>
            </w:r>
          </w:p>
        </w:tc>
        <w:tc>
          <w:tcPr>
            <w:tcW w:w="567" w:type="dxa"/>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电压等级</w:t>
            </w:r>
          </w:p>
        </w:tc>
        <w:tc>
          <w:tcPr>
            <w:tcW w:w="1136" w:type="dxa"/>
            <w:gridSpan w:val="2"/>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0kV</w:t>
            </w:r>
          </w:p>
        </w:tc>
        <w:tc>
          <w:tcPr>
            <w:tcW w:w="991" w:type="dxa"/>
            <w:vMerge w:val="restart"/>
            <w:shd w:val="clear" w:color="auto" w:fill="auto"/>
            <w:vAlign w:val="center"/>
          </w:tcPr>
          <w:p>
            <w:pPr>
              <w:adjustRightInd w:val="0"/>
              <w:snapToGrid w:val="0"/>
              <w:jc w:val="center"/>
              <w:rPr>
                <w:rFonts w:ascii="黑体" w:hAnsi="黑体" w:eastAsia="黑体" w:cs="Tahoma"/>
                <w:b/>
                <w:szCs w:val="21"/>
              </w:rPr>
            </w:pPr>
            <w:r>
              <w:rPr>
                <w:rFonts w:hint="eastAsia" w:ascii="黑体" w:hAnsi="黑体" w:eastAsia="黑体" w:cs="Tahoma"/>
                <w:b/>
                <w:szCs w:val="21"/>
              </w:rPr>
              <w:t>安装位置</w:t>
            </w:r>
          </w:p>
        </w:tc>
        <w:tc>
          <w:tcPr>
            <w:tcW w:w="708" w:type="dxa"/>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线总表</w:t>
            </w:r>
            <w:r>
              <w:rPr>
                <w:rFonts w:cs="Tahoma" w:asciiTheme="minorEastAsia" w:hAnsiTheme="minorEastAsia"/>
                <w:szCs w:val="21"/>
              </w:rPr>
              <w:t>2</w:t>
            </w:r>
          </w:p>
        </w:tc>
        <w:tc>
          <w:tcPr>
            <w:tcW w:w="432" w:type="dxa"/>
            <w:vMerge w:val="continue"/>
            <w:shd w:val="clear" w:color="auto" w:fill="FFFFFF" w:themeFill="background1"/>
            <w:vAlign w:val="center"/>
          </w:tcPr>
          <w:p>
            <w:pPr>
              <w:adjustRightInd w:val="0"/>
              <w:snapToGrid w:val="0"/>
              <w:jc w:val="center"/>
              <w:rPr>
                <w:rFonts w:cs="Tahoma" w:asciiTheme="minorEastAsia" w:hAnsiTheme="minorEastAsia"/>
                <w:szCs w:val="21"/>
              </w:rPr>
            </w:pPr>
          </w:p>
        </w:tc>
        <w:tc>
          <w:tcPr>
            <w:tcW w:w="425" w:type="dxa"/>
            <w:gridSpan w:val="2"/>
            <w:shd w:val="clear" w:color="auto" w:fill="FFFFFF" w:themeFill="background1"/>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709" w:type="dxa"/>
            <w:gridSpan w:val="3"/>
            <w:shd w:val="clear" w:color="auto" w:fill="auto"/>
            <w:vAlign w:val="center"/>
          </w:tcPr>
          <w:p>
            <w:pPr>
              <w:adjustRightInd w:val="0"/>
              <w:snapToGrid w:val="0"/>
              <w:jc w:val="left"/>
              <w:rPr>
                <w:rFonts w:cs="Tahoma" w:asciiTheme="minorEastAsia" w:hAnsiTheme="minorEastAsia"/>
                <w:szCs w:val="21"/>
              </w:rPr>
            </w:pPr>
            <w:r>
              <w:rPr>
                <w:rFonts w:cs="Tahoma" w:asciiTheme="minorEastAsia" w:hAnsiTheme="minorEastAsia"/>
                <w:szCs w:val="21"/>
              </w:rPr>
              <w:t>XX</w:t>
            </w:r>
            <w:r>
              <w:rPr>
                <w:rFonts w:hint="eastAsia" w:cs="Tahoma" w:asciiTheme="minorEastAsia" w:hAnsiTheme="minorEastAsia"/>
                <w:szCs w:val="21"/>
              </w:rPr>
              <w:t>线</w:t>
            </w:r>
          </w:p>
        </w:tc>
        <w:tc>
          <w:tcPr>
            <w:tcW w:w="710" w:type="dxa"/>
            <w:vMerge w:val="continue"/>
            <w:shd w:val="clear" w:color="auto" w:fill="auto"/>
            <w:vAlign w:val="center"/>
          </w:tcPr>
          <w:p>
            <w:pPr>
              <w:adjustRightInd w:val="0"/>
              <w:snapToGrid w:val="0"/>
              <w:jc w:val="center"/>
              <w:rPr>
                <w:rFonts w:cs="Tahoma" w:asciiTheme="minorEastAsia" w:hAnsiTheme="minorEastAsia"/>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高供高计</w:t>
            </w: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1</w:t>
            </w:r>
            <w:r>
              <w:rPr>
                <w:rFonts w:cs="Tahoma" w:asciiTheme="minorEastAsia" w:hAnsiTheme="minorEastAsia"/>
                <w:szCs w:val="21"/>
              </w:rPr>
              <w:t>0kV</w:t>
            </w:r>
          </w:p>
        </w:tc>
        <w:tc>
          <w:tcPr>
            <w:tcW w:w="991" w:type="dxa"/>
            <w:vMerge w:val="continue"/>
            <w:shd w:val="clear" w:color="auto" w:fill="auto"/>
            <w:vAlign w:val="center"/>
          </w:tcPr>
          <w:p>
            <w:pPr>
              <w:adjustRightInd w:val="0"/>
              <w:snapToGrid w:val="0"/>
              <w:jc w:val="center"/>
              <w:rPr>
                <w:rFonts w:cs="Tahoma" w:asciiTheme="minorEastAsia" w:hAnsiTheme="minorEastAsia"/>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w:t>
            </w:r>
            <w:r>
              <w:rPr>
                <w:rFonts w:hint="eastAsia" w:cs="Tahoma" w:asciiTheme="minorEastAsia" w:hAnsiTheme="minorEastAsia"/>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p>
        </w:tc>
        <w:tc>
          <w:tcPr>
            <w:tcW w:w="432" w:type="dxa"/>
            <w:vMerge w:val="continue"/>
            <w:shd w:val="clear" w:color="auto" w:fill="FFFFFF" w:themeFill="background1"/>
            <w:vAlign w:val="center"/>
          </w:tcPr>
          <w:p>
            <w:pPr>
              <w:adjustRightInd w:val="0"/>
              <w:snapToGrid w:val="0"/>
              <w:jc w:val="center"/>
              <w:rPr>
                <w:rFonts w:cs="Tahoma" w:asciiTheme="minorEastAsia" w:hAnsiTheme="minorEastAsia"/>
                <w:szCs w:val="21"/>
              </w:rPr>
            </w:pPr>
          </w:p>
        </w:tc>
        <w:tc>
          <w:tcPr>
            <w:tcW w:w="425" w:type="dxa"/>
            <w:gridSpan w:val="2"/>
            <w:shd w:val="clear" w:color="auto" w:fill="FFFFFF" w:themeFill="background1"/>
            <w:vAlign w:val="center"/>
          </w:tcPr>
          <w:p>
            <w:pPr>
              <w:adjustRightInd w:val="0"/>
              <w:snapToGrid w:val="0"/>
              <w:jc w:val="center"/>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709" w:type="dxa"/>
            <w:gridSpan w:val="3"/>
            <w:shd w:val="clear" w:color="auto" w:fill="auto"/>
            <w:vAlign w:val="center"/>
          </w:tcPr>
          <w:p>
            <w:pPr>
              <w:adjustRightInd w:val="0"/>
              <w:snapToGrid w:val="0"/>
              <w:jc w:val="left"/>
              <w:rPr>
                <w:rFonts w:cs="Tahoma" w:asciiTheme="minorEastAsia" w:hAnsiTheme="minorEastAsia"/>
                <w:szCs w:val="21"/>
              </w:rPr>
            </w:pPr>
          </w:p>
        </w:tc>
        <w:tc>
          <w:tcPr>
            <w:tcW w:w="710" w:type="dxa"/>
            <w:vMerge w:val="continue"/>
            <w:shd w:val="clear" w:color="auto" w:fill="auto"/>
            <w:vAlign w:val="center"/>
          </w:tcPr>
          <w:p>
            <w:pPr>
              <w:adjustRightInd w:val="0"/>
              <w:snapToGrid w:val="0"/>
              <w:jc w:val="center"/>
              <w:rPr>
                <w:rFonts w:cs="Tahoma" w:asciiTheme="minorEastAsia" w:hAnsiTheme="minorEastAsia"/>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p>
        </w:tc>
        <w:tc>
          <w:tcPr>
            <w:tcW w:w="991" w:type="dxa"/>
            <w:vMerge w:val="continue"/>
            <w:shd w:val="clear" w:color="auto" w:fill="auto"/>
            <w:vAlign w:val="center"/>
          </w:tcPr>
          <w:p>
            <w:pPr>
              <w:adjustRightInd w:val="0"/>
              <w:snapToGrid w:val="0"/>
              <w:jc w:val="center"/>
              <w:rPr>
                <w:rFonts w:cs="Tahoma" w:asciiTheme="minorEastAsia" w:hAnsiTheme="minorEastAsia"/>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1132" w:type="dxa"/>
            <w:vMerge w:val="continue"/>
            <w:shd w:val="clear" w:color="auto" w:fill="auto"/>
            <w:tcMar>
              <w:top w:w="12" w:type="dxa"/>
              <w:left w:w="12" w:type="dxa"/>
              <w:bottom w:w="0" w:type="dxa"/>
              <w:right w:w="12" w:type="dxa"/>
            </w:tcMar>
            <w:vAlign w:val="center"/>
          </w:tcPr>
          <w:p>
            <w:pPr>
              <w:adjustRightInd w:val="0"/>
              <w:snapToGrid w:val="0"/>
              <w:jc w:val="center"/>
              <w:rPr>
                <w:rFonts w:ascii="黑体" w:hAnsi="黑体" w:eastAsia="黑体" w:cs="Tahoma"/>
                <w:szCs w:val="21"/>
              </w:rPr>
            </w:pPr>
          </w:p>
        </w:tc>
        <w:tc>
          <w:tcPr>
            <w:tcW w:w="1130" w:type="dxa"/>
            <w:shd w:val="clear" w:color="auto" w:fill="auto"/>
            <w:tcMar>
              <w:top w:w="12" w:type="dxa"/>
              <w:left w:w="12" w:type="dxa"/>
              <w:bottom w:w="0" w:type="dxa"/>
              <w:right w:w="12" w:type="dxa"/>
            </w:tcMar>
            <w:vAlign w:val="center"/>
          </w:tcPr>
          <w:p>
            <w:pPr>
              <w:adjustRightInd w:val="0"/>
              <w:snapToGrid w:val="0"/>
              <w:jc w:val="left"/>
              <w:rPr>
                <w:rFonts w:cs="Tahoma" w:asciiTheme="minorEastAsia" w:hAnsiTheme="minorEastAsia"/>
                <w:szCs w:val="21"/>
              </w:rPr>
            </w:pPr>
          </w:p>
        </w:tc>
        <w:tc>
          <w:tcPr>
            <w:tcW w:w="432" w:type="dxa"/>
            <w:vMerge w:val="continue"/>
            <w:shd w:val="clear" w:color="auto" w:fill="FFFFFF" w:themeFill="background1"/>
            <w:vAlign w:val="center"/>
          </w:tcPr>
          <w:p>
            <w:pPr>
              <w:adjustRightInd w:val="0"/>
              <w:snapToGrid w:val="0"/>
              <w:jc w:val="center"/>
              <w:rPr>
                <w:rFonts w:cs="Tahoma" w:asciiTheme="minorEastAsia" w:hAnsiTheme="minorEastAsia"/>
                <w:szCs w:val="21"/>
              </w:rPr>
            </w:pPr>
          </w:p>
        </w:tc>
        <w:tc>
          <w:tcPr>
            <w:tcW w:w="425" w:type="dxa"/>
            <w:gridSpan w:val="2"/>
            <w:shd w:val="clear" w:color="auto" w:fill="FFFFFF" w:themeFill="background1"/>
            <w:vAlign w:val="center"/>
          </w:tcPr>
          <w:p>
            <w:pPr>
              <w:adjustRightInd w:val="0"/>
              <w:snapToGrid w:val="0"/>
              <w:jc w:val="center"/>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709" w:type="dxa"/>
            <w:gridSpan w:val="3"/>
            <w:shd w:val="clear" w:color="auto" w:fill="auto"/>
            <w:vAlign w:val="center"/>
          </w:tcPr>
          <w:p>
            <w:pPr>
              <w:adjustRightInd w:val="0"/>
              <w:snapToGrid w:val="0"/>
              <w:jc w:val="left"/>
              <w:rPr>
                <w:rFonts w:cs="Tahoma" w:asciiTheme="minorEastAsia" w:hAnsiTheme="minorEastAsia"/>
                <w:szCs w:val="21"/>
              </w:rPr>
            </w:pPr>
          </w:p>
        </w:tc>
        <w:tc>
          <w:tcPr>
            <w:tcW w:w="710" w:type="dxa"/>
            <w:vMerge w:val="continue"/>
            <w:shd w:val="clear" w:color="auto" w:fill="auto"/>
            <w:vAlign w:val="center"/>
          </w:tcPr>
          <w:p>
            <w:pPr>
              <w:adjustRightInd w:val="0"/>
              <w:snapToGrid w:val="0"/>
              <w:jc w:val="center"/>
              <w:rPr>
                <w:rFonts w:cs="Tahoma" w:asciiTheme="minorEastAsia" w:hAnsiTheme="minorEastAsia"/>
                <w:szCs w:val="21"/>
              </w:rPr>
            </w:pPr>
          </w:p>
        </w:tc>
        <w:tc>
          <w:tcPr>
            <w:tcW w:w="1558" w:type="dxa"/>
            <w:gridSpan w:val="2"/>
            <w:shd w:val="clear" w:color="auto" w:fill="auto"/>
            <w:vAlign w:val="center"/>
          </w:tcPr>
          <w:p>
            <w:pPr>
              <w:adjustRightInd w:val="0"/>
              <w:snapToGrid w:val="0"/>
              <w:jc w:val="left"/>
              <w:rPr>
                <w:rFonts w:cs="Tahoma" w:asciiTheme="minorEastAsia" w:hAnsiTheme="minorEastAsia"/>
                <w:szCs w:val="21"/>
              </w:rPr>
            </w:pPr>
          </w:p>
        </w:tc>
        <w:tc>
          <w:tcPr>
            <w:tcW w:w="567" w:type="dxa"/>
            <w:vMerge w:val="continue"/>
            <w:shd w:val="clear" w:color="auto" w:fill="auto"/>
            <w:vAlign w:val="center"/>
          </w:tcPr>
          <w:p>
            <w:pPr>
              <w:adjustRightInd w:val="0"/>
              <w:snapToGrid w:val="0"/>
              <w:jc w:val="center"/>
              <w:rPr>
                <w:rFonts w:cs="Tahoma" w:asciiTheme="minorEastAsia" w:hAnsiTheme="minorEastAsia"/>
                <w:szCs w:val="21"/>
              </w:rPr>
            </w:pPr>
          </w:p>
        </w:tc>
        <w:tc>
          <w:tcPr>
            <w:tcW w:w="1136" w:type="dxa"/>
            <w:gridSpan w:val="2"/>
            <w:shd w:val="clear" w:color="auto" w:fill="auto"/>
            <w:vAlign w:val="center"/>
          </w:tcPr>
          <w:p>
            <w:pPr>
              <w:adjustRightInd w:val="0"/>
              <w:snapToGrid w:val="0"/>
              <w:jc w:val="left"/>
              <w:rPr>
                <w:rFonts w:cs="Tahoma" w:asciiTheme="minorEastAsia" w:hAnsiTheme="minorEastAsia"/>
                <w:szCs w:val="21"/>
              </w:rPr>
            </w:pPr>
          </w:p>
        </w:tc>
        <w:tc>
          <w:tcPr>
            <w:tcW w:w="991" w:type="dxa"/>
            <w:vMerge w:val="continue"/>
            <w:shd w:val="clear" w:color="auto" w:fill="auto"/>
            <w:vAlign w:val="center"/>
          </w:tcPr>
          <w:p>
            <w:pPr>
              <w:adjustRightInd w:val="0"/>
              <w:snapToGrid w:val="0"/>
              <w:jc w:val="center"/>
              <w:rPr>
                <w:rFonts w:cs="Tahoma" w:asciiTheme="minorEastAsia" w:hAnsiTheme="minorEastAsia"/>
                <w:szCs w:val="21"/>
              </w:rPr>
            </w:pPr>
          </w:p>
        </w:tc>
        <w:tc>
          <w:tcPr>
            <w:tcW w:w="708" w:type="dxa"/>
            <w:shd w:val="clear" w:color="auto" w:fill="auto"/>
            <w:vAlign w:val="center"/>
          </w:tcPr>
          <w:p>
            <w:pPr>
              <w:adjustRightInd w:val="0"/>
              <w:snapToGrid w:val="0"/>
              <w:jc w:val="left"/>
              <w:rPr>
                <w:rFonts w:cs="Tahoma" w:asciiTheme="minorEastAsia" w:hAnsiTheme="minorEastAsia"/>
                <w:szCs w:val="21"/>
              </w:rPr>
            </w:pPr>
          </w:p>
        </w:tc>
      </w:tr>
      <w:bookmarkEnd w:id="34"/>
    </w:tbl>
    <w:p>
      <w:pPr>
        <w:pStyle w:val="68"/>
        <w:numPr>
          <w:ilvl w:val="0"/>
          <w:numId w:val="0"/>
        </w:numPr>
        <w:rPr>
          <w:szCs w:val="22"/>
        </w:rPr>
      </w:pPr>
    </w:p>
    <w:p>
      <w:r>
        <w:br w:type="page"/>
      </w:r>
    </w:p>
    <w:p>
      <w:pPr>
        <w:pStyle w:val="15"/>
        <w:adjustRightInd w:val="0"/>
        <w:snapToGrid w:val="0"/>
        <w:ind w:left="0"/>
        <w:jc w:val="center"/>
        <w:rPr>
          <w:rFonts w:ascii="黑体" w:hAnsi="黑体" w:eastAsia="黑体"/>
          <w:lang w:eastAsia="zh-CN"/>
        </w:rPr>
      </w:pPr>
      <w:r>
        <w:rPr>
          <w:rFonts w:hint="eastAsia" w:ascii="黑体" w:hAnsi="黑体" w:eastAsia="黑体"/>
          <w:lang w:eastAsia="zh-CN"/>
        </w:rPr>
        <w:t>表2  主要生产设施基本信息表（填写样例）</w:t>
      </w:r>
    </w:p>
    <w:tbl>
      <w:tblPr>
        <w:tblStyle w:val="41"/>
        <w:tblW w:w="101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709"/>
        <w:gridCol w:w="709"/>
        <w:gridCol w:w="709"/>
        <w:gridCol w:w="1315"/>
        <w:gridCol w:w="501"/>
        <w:gridCol w:w="1392"/>
        <w:gridCol w:w="450"/>
        <w:gridCol w:w="851"/>
        <w:gridCol w:w="992"/>
        <w:gridCol w:w="992"/>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tcMar>
              <w:left w:w="0" w:type="dxa"/>
              <w:right w:w="0" w:type="dxa"/>
            </w:tcMar>
            <w:vAlign w:val="center"/>
          </w:tcPr>
          <w:p>
            <w:pPr>
              <w:widowControl/>
              <w:adjustRightInd w:val="0"/>
              <w:snapToGrid w:val="0"/>
              <w:jc w:val="left"/>
              <w:rPr>
                <w:rFonts w:ascii="黑体" w:hAnsi="黑体" w:eastAsia="黑体" w:cs="Tahoma"/>
                <w:color w:val="000000"/>
                <w:kern w:val="0"/>
                <w:szCs w:val="21"/>
              </w:rPr>
            </w:pPr>
            <w:r>
              <w:rPr>
                <w:rFonts w:hint="eastAsia" w:ascii="黑体" w:hAnsi="黑体" w:eastAsia="黑体" w:cs="Tahoma"/>
                <w:color w:val="000000"/>
                <w:kern w:val="0"/>
                <w:szCs w:val="21"/>
              </w:rPr>
              <w:t>生产单元名称</w:t>
            </w:r>
          </w:p>
        </w:tc>
        <w:tc>
          <w:tcPr>
            <w:tcW w:w="709" w:type="dxa"/>
            <w:tcMar>
              <w:left w:w="0" w:type="dxa"/>
              <w:right w:w="0" w:type="dxa"/>
            </w:tcMar>
            <w:vAlign w:val="center"/>
          </w:tcPr>
          <w:p>
            <w:pPr>
              <w:widowControl/>
              <w:adjustRightInd w:val="0"/>
              <w:snapToGrid w:val="0"/>
              <w:jc w:val="center"/>
              <w:rPr>
                <w:rFonts w:ascii="黑体" w:hAnsi="黑体" w:eastAsia="黑体" w:cs="Tahoma"/>
                <w:color w:val="000000"/>
                <w:kern w:val="0"/>
                <w:szCs w:val="21"/>
                <w:highlight w:val="red"/>
              </w:rPr>
            </w:pPr>
            <w:r>
              <w:rPr>
                <w:rFonts w:hint="eastAsia" w:ascii="黑体" w:hAnsi="黑体" w:eastAsia="黑体" w:cs="Tahoma"/>
                <w:color w:val="000000"/>
                <w:kern w:val="0"/>
                <w:szCs w:val="21"/>
              </w:rPr>
              <w:t>生产单元序号</w:t>
            </w:r>
          </w:p>
        </w:tc>
        <w:tc>
          <w:tcPr>
            <w:tcW w:w="709"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生产设施名称</w:t>
            </w:r>
          </w:p>
        </w:tc>
        <w:tc>
          <w:tcPr>
            <w:tcW w:w="709"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生产设施序号</w:t>
            </w:r>
          </w:p>
        </w:tc>
        <w:tc>
          <w:tcPr>
            <w:tcW w:w="1315"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监测设备名称</w:t>
            </w:r>
          </w:p>
        </w:tc>
        <w:tc>
          <w:tcPr>
            <w:tcW w:w="501"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设备序号</w:t>
            </w:r>
          </w:p>
        </w:tc>
        <w:tc>
          <w:tcPr>
            <w:tcW w:w="1392" w:type="dxa"/>
            <w:shd w:val="clear" w:color="auto" w:fill="FFFFFF" w:themeFill="background1"/>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设备编码</w:t>
            </w:r>
          </w:p>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（系统生成）</w:t>
            </w:r>
          </w:p>
        </w:tc>
        <w:tc>
          <w:tcPr>
            <w:tcW w:w="450"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设备功率</w:t>
            </w:r>
          </w:p>
        </w:tc>
        <w:tc>
          <w:tcPr>
            <w:tcW w:w="851"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备用关系</w:t>
            </w:r>
          </w:p>
        </w:tc>
        <w:tc>
          <w:tcPr>
            <w:tcW w:w="992"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污染物种类</w:t>
            </w:r>
          </w:p>
        </w:tc>
        <w:tc>
          <w:tcPr>
            <w:tcW w:w="992"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排放形式</w:t>
            </w:r>
          </w:p>
        </w:tc>
        <w:tc>
          <w:tcPr>
            <w:tcW w:w="721" w:type="dxa"/>
            <w:tcMar>
              <w:left w:w="0" w:type="dxa"/>
              <w:right w:w="0" w:type="dxa"/>
            </w:tcMar>
            <w:vAlign w:val="center"/>
          </w:tcPr>
          <w:p>
            <w:pPr>
              <w:widowControl/>
              <w:adjustRightInd w:val="0"/>
              <w:snapToGrid w:val="0"/>
              <w:jc w:val="center"/>
              <w:rPr>
                <w:rFonts w:ascii="黑体" w:hAnsi="黑体" w:eastAsia="黑体" w:cs="Tahoma"/>
                <w:color w:val="000000"/>
                <w:kern w:val="0"/>
                <w:szCs w:val="21"/>
              </w:rPr>
            </w:pPr>
            <w:r>
              <w:rPr>
                <w:rFonts w:hint="eastAsia" w:ascii="黑体" w:hAnsi="黑体" w:eastAsia="黑体" w:cs="Tahoma"/>
                <w:color w:val="000000"/>
                <w:kern w:val="0"/>
                <w:szCs w:val="21"/>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restart"/>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1</w:t>
            </w:r>
            <w:r>
              <w:rPr>
                <w:rFonts w:hint="eastAsia" w:cs="Tahoma" w:asciiTheme="minorEastAsia" w:hAnsiTheme="minorEastAsia"/>
                <w:szCs w:val="21"/>
              </w:rPr>
              <w:t>锅炉</w:t>
            </w:r>
          </w:p>
        </w:tc>
        <w:tc>
          <w:tcPr>
            <w:tcW w:w="709" w:type="dxa"/>
            <w:vMerge w:val="restart"/>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p>
        </w:tc>
        <w:tc>
          <w:tcPr>
            <w:tcW w:w="709" w:type="dxa"/>
            <w:vMerge w:val="restart"/>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r>
              <w:rPr>
                <w:rFonts w:hint="eastAsia" w:cs="Tahoma" w:asciiTheme="minorEastAsia" w:hAnsiTheme="minorEastAsia"/>
                <w:szCs w:val="21"/>
              </w:rPr>
              <w:t>炉燃烧系统</w:t>
            </w:r>
          </w:p>
        </w:tc>
        <w:tc>
          <w:tcPr>
            <w:tcW w:w="709" w:type="dxa"/>
            <w:vMerge w:val="restart"/>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p>
        </w:tc>
        <w:tc>
          <w:tcPr>
            <w:tcW w:w="1315" w:type="dxa"/>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r>
              <w:rPr>
                <w:rFonts w:hint="eastAsia" w:cs="Tahoma" w:asciiTheme="minorEastAsia" w:hAnsiTheme="minorEastAsia"/>
                <w:szCs w:val="21"/>
              </w:rPr>
              <w:t>炉#</w:t>
            </w:r>
            <w:r>
              <w:rPr>
                <w:rFonts w:cs="Tahoma" w:asciiTheme="minorEastAsia" w:hAnsiTheme="minorEastAsia"/>
                <w:szCs w:val="21"/>
              </w:rPr>
              <w:t>1</w:t>
            </w:r>
            <w:r>
              <w:rPr>
                <w:rFonts w:hint="eastAsia" w:cs="Tahoma" w:asciiTheme="minorEastAsia" w:hAnsiTheme="minorEastAsia"/>
                <w:szCs w:val="21"/>
              </w:rPr>
              <w:t>送风机</w:t>
            </w: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01</w:t>
            </w: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0kw</w:t>
            </w: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X主X备</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废气</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有组织排放</w:t>
            </w: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主要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1315" w:type="dxa"/>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r>
              <w:rPr>
                <w:rFonts w:hint="eastAsia" w:cs="Tahoma" w:asciiTheme="minorEastAsia" w:hAnsiTheme="minorEastAsia"/>
                <w:szCs w:val="21"/>
              </w:rPr>
              <w:t>炉#</w:t>
            </w:r>
            <w:r>
              <w:rPr>
                <w:rFonts w:cs="Tahoma" w:asciiTheme="minorEastAsia" w:hAnsiTheme="minorEastAsia"/>
                <w:szCs w:val="21"/>
              </w:rPr>
              <w:t>2</w:t>
            </w:r>
            <w:r>
              <w:rPr>
                <w:rFonts w:hint="eastAsia" w:cs="Tahoma" w:asciiTheme="minorEastAsia" w:hAnsiTheme="minorEastAsia"/>
                <w:szCs w:val="21"/>
              </w:rPr>
              <w:t>送风机</w:t>
            </w: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0</w:t>
            </w:r>
            <w:r>
              <w:rPr>
                <w:rFonts w:cs="Tahoma" w:asciiTheme="minorEastAsia" w:hAnsiTheme="minorEastAsia"/>
                <w:szCs w:val="21"/>
              </w:rPr>
              <w:t>2</w:t>
            </w: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0kw</w:t>
            </w: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X主X备</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废气</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有组织排放</w:t>
            </w: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主要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09" w:type="dxa"/>
            <w:tcMar>
              <w:left w:w="0" w:type="dxa"/>
              <w:right w:w="0" w:type="dxa"/>
            </w:tcMar>
            <w:vAlign w:val="center"/>
          </w:tcPr>
          <w:p>
            <w:pPr>
              <w:adjustRightInd w:val="0"/>
              <w:snapToGrid w:val="0"/>
              <w:jc w:val="center"/>
              <w:rPr>
                <w:rFonts w:cs="Tahoma" w:asciiTheme="minorEastAsia" w:hAnsiTheme="minorEastAsia"/>
                <w:szCs w:val="21"/>
              </w:rPr>
            </w:pPr>
          </w:p>
        </w:tc>
        <w:tc>
          <w:tcPr>
            <w:tcW w:w="709" w:type="dxa"/>
            <w:tcMar>
              <w:left w:w="0" w:type="dxa"/>
              <w:right w:w="0" w:type="dxa"/>
            </w:tcMar>
            <w:vAlign w:val="center"/>
          </w:tcPr>
          <w:p>
            <w:pPr>
              <w:adjustRightInd w:val="0"/>
              <w:snapToGrid w:val="0"/>
              <w:jc w:val="center"/>
              <w:rPr>
                <w:rFonts w:cs="Tahoma" w:asciiTheme="minorEastAsia" w:hAnsiTheme="minorEastAsia"/>
                <w:szCs w:val="21"/>
              </w:rPr>
            </w:pPr>
          </w:p>
        </w:tc>
        <w:tc>
          <w:tcPr>
            <w:tcW w:w="1315" w:type="dxa"/>
            <w:tcMar>
              <w:left w:w="0" w:type="dxa"/>
              <w:right w:w="0" w:type="dxa"/>
            </w:tcMar>
            <w:vAlign w:val="center"/>
          </w:tcPr>
          <w:p>
            <w:pPr>
              <w:adjustRightInd w:val="0"/>
              <w:snapToGrid w:val="0"/>
              <w:jc w:val="center"/>
              <w:rPr>
                <w:rFonts w:cs="Tahoma" w:asciiTheme="minorEastAsia" w:hAnsiTheme="minorEastAsia"/>
                <w:szCs w:val="21"/>
              </w:rPr>
            </w:pP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restart"/>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2</w:t>
            </w:r>
            <w:r>
              <w:rPr>
                <w:rFonts w:hint="eastAsia" w:cs="Tahoma" w:asciiTheme="minorEastAsia" w:hAnsiTheme="minorEastAsia"/>
                <w:szCs w:val="21"/>
              </w:rPr>
              <w:t>锅炉</w:t>
            </w:r>
          </w:p>
        </w:tc>
        <w:tc>
          <w:tcPr>
            <w:tcW w:w="709" w:type="dxa"/>
            <w:vMerge w:val="restart"/>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p>
        </w:tc>
        <w:tc>
          <w:tcPr>
            <w:tcW w:w="709" w:type="dxa"/>
            <w:vMerge w:val="restart"/>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#2</w:t>
            </w:r>
            <w:r>
              <w:rPr>
                <w:rFonts w:hint="eastAsia" w:cs="Tahoma" w:asciiTheme="minorEastAsia" w:hAnsiTheme="minorEastAsia"/>
                <w:szCs w:val="21"/>
              </w:rPr>
              <w:t>炉燃烧系统</w:t>
            </w:r>
          </w:p>
        </w:tc>
        <w:tc>
          <w:tcPr>
            <w:tcW w:w="709" w:type="dxa"/>
            <w:vMerge w:val="restart"/>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1</w:t>
            </w:r>
          </w:p>
        </w:tc>
        <w:tc>
          <w:tcPr>
            <w:tcW w:w="1315" w:type="dxa"/>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#2</w:t>
            </w:r>
            <w:r>
              <w:rPr>
                <w:rFonts w:hint="eastAsia" w:cs="Tahoma" w:asciiTheme="minorEastAsia" w:hAnsiTheme="minorEastAsia"/>
                <w:szCs w:val="21"/>
              </w:rPr>
              <w:t>炉#</w:t>
            </w:r>
            <w:r>
              <w:rPr>
                <w:rFonts w:cs="Tahoma" w:asciiTheme="minorEastAsia" w:hAnsiTheme="minorEastAsia"/>
                <w:szCs w:val="21"/>
              </w:rPr>
              <w:t>1</w:t>
            </w:r>
            <w:r>
              <w:rPr>
                <w:rFonts w:hint="eastAsia" w:cs="Tahoma" w:asciiTheme="minorEastAsia" w:hAnsiTheme="minorEastAsia"/>
                <w:szCs w:val="21"/>
              </w:rPr>
              <w:t>送风机</w:t>
            </w: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01</w:t>
            </w: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0kw</w:t>
            </w: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X主X备</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废气</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有组织排放</w:t>
            </w: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主要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1315" w:type="dxa"/>
            <w:tcMar>
              <w:left w:w="0" w:type="dxa"/>
              <w:right w:w="0" w:type="dxa"/>
            </w:tcMar>
            <w:vAlign w:val="center"/>
          </w:tcPr>
          <w:p>
            <w:pPr>
              <w:adjustRightInd w:val="0"/>
              <w:snapToGrid w:val="0"/>
              <w:jc w:val="center"/>
              <w:rPr>
                <w:rFonts w:cs="Tahoma" w:asciiTheme="minorEastAsia" w:hAnsiTheme="minorEastAsia"/>
                <w:szCs w:val="21"/>
              </w:rPr>
            </w:pPr>
            <w:r>
              <w:rPr>
                <w:rFonts w:cs="Tahoma" w:asciiTheme="minorEastAsia" w:hAnsiTheme="minorEastAsia"/>
                <w:szCs w:val="21"/>
              </w:rPr>
              <w:t>#2</w:t>
            </w:r>
            <w:r>
              <w:rPr>
                <w:rFonts w:hint="eastAsia" w:cs="Tahoma" w:asciiTheme="minorEastAsia" w:hAnsiTheme="minorEastAsia"/>
                <w:szCs w:val="21"/>
              </w:rPr>
              <w:t>炉#</w:t>
            </w:r>
            <w:r>
              <w:rPr>
                <w:rFonts w:cs="Tahoma" w:asciiTheme="minorEastAsia" w:hAnsiTheme="minorEastAsia"/>
                <w:szCs w:val="21"/>
              </w:rPr>
              <w:t>2</w:t>
            </w:r>
            <w:r>
              <w:rPr>
                <w:rFonts w:hint="eastAsia" w:cs="Tahoma" w:asciiTheme="minorEastAsia" w:hAnsiTheme="minorEastAsia"/>
                <w:szCs w:val="21"/>
              </w:rPr>
              <w:t>送风机</w:t>
            </w: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0</w:t>
            </w:r>
            <w:r>
              <w:rPr>
                <w:rFonts w:cs="Tahoma" w:asciiTheme="minorEastAsia" w:hAnsiTheme="minorEastAsia"/>
                <w:szCs w:val="21"/>
              </w:rPr>
              <w:t>2</w:t>
            </w: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2</w:t>
            </w:r>
            <w:r>
              <w:rPr>
                <w:rFonts w:cs="Tahoma" w:asciiTheme="minorEastAsia" w:hAnsiTheme="minorEastAsia"/>
                <w:szCs w:val="21"/>
              </w:rPr>
              <w:t>0kw</w:t>
            </w: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X主X备</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废气</w:t>
            </w: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有组织排放</w:t>
            </w: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r>
              <w:rPr>
                <w:rFonts w:hint="eastAsia" w:cs="Tahoma" w:asciiTheme="minorEastAsia" w:hAnsiTheme="minorEastAsia"/>
                <w:szCs w:val="21"/>
              </w:rPr>
              <w:t>主要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806" w:type="dxa"/>
            <w:vMerge w:val="continue"/>
            <w:tcMar>
              <w:left w:w="0" w:type="dxa"/>
              <w:right w:w="0" w:type="dxa"/>
            </w:tcMar>
            <w:vAlign w:val="center"/>
          </w:tcPr>
          <w:p>
            <w:pPr>
              <w:adjustRightInd w:val="0"/>
              <w:snapToGrid w:val="0"/>
              <w:jc w:val="center"/>
              <w:rPr>
                <w:rFonts w:cs="Tahoma" w:asciiTheme="minorEastAsia" w:hAnsiTheme="minorEastAsia"/>
                <w:szCs w:val="21"/>
              </w:rPr>
            </w:pPr>
          </w:p>
        </w:tc>
        <w:tc>
          <w:tcPr>
            <w:tcW w:w="709" w:type="dxa"/>
            <w:vMerge w:val="continue"/>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09" w:type="dxa"/>
            <w:tcMar>
              <w:left w:w="0" w:type="dxa"/>
              <w:right w:w="0" w:type="dxa"/>
            </w:tcMar>
            <w:vAlign w:val="center"/>
          </w:tcPr>
          <w:p>
            <w:pPr>
              <w:adjustRightInd w:val="0"/>
              <w:snapToGrid w:val="0"/>
              <w:jc w:val="center"/>
              <w:rPr>
                <w:rFonts w:cs="Tahoma" w:asciiTheme="minorEastAsia" w:hAnsiTheme="minorEastAsia"/>
                <w:szCs w:val="21"/>
              </w:rPr>
            </w:pPr>
          </w:p>
        </w:tc>
        <w:tc>
          <w:tcPr>
            <w:tcW w:w="709" w:type="dxa"/>
            <w:tcMar>
              <w:left w:w="0" w:type="dxa"/>
              <w:right w:w="0" w:type="dxa"/>
            </w:tcMar>
            <w:vAlign w:val="center"/>
          </w:tcPr>
          <w:p>
            <w:pPr>
              <w:adjustRightInd w:val="0"/>
              <w:snapToGrid w:val="0"/>
              <w:jc w:val="center"/>
              <w:rPr>
                <w:rFonts w:cs="Tahoma" w:asciiTheme="minorEastAsia" w:hAnsiTheme="minorEastAsia"/>
                <w:szCs w:val="21"/>
              </w:rPr>
            </w:pPr>
          </w:p>
        </w:tc>
        <w:tc>
          <w:tcPr>
            <w:tcW w:w="1315" w:type="dxa"/>
            <w:tcMar>
              <w:left w:w="0" w:type="dxa"/>
              <w:right w:w="0" w:type="dxa"/>
            </w:tcMar>
            <w:vAlign w:val="center"/>
          </w:tcPr>
          <w:p>
            <w:pPr>
              <w:adjustRightInd w:val="0"/>
              <w:snapToGrid w:val="0"/>
              <w:jc w:val="center"/>
              <w:rPr>
                <w:rFonts w:cs="Tahoma" w:asciiTheme="minorEastAsia" w:hAnsiTheme="minorEastAsia"/>
                <w:szCs w:val="21"/>
              </w:rPr>
            </w:pPr>
          </w:p>
        </w:tc>
        <w:tc>
          <w:tcPr>
            <w:tcW w:w="50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1392" w:type="dxa"/>
            <w:shd w:val="clear" w:color="auto" w:fill="FFFFFF" w:themeFill="background1"/>
            <w:tcMar>
              <w:left w:w="0" w:type="dxa"/>
              <w:right w:w="0" w:type="dxa"/>
            </w:tcMar>
            <w:vAlign w:val="center"/>
          </w:tcPr>
          <w:p>
            <w:pPr>
              <w:adjustRightInd w:val="0"/>
              <w:snapToGrid w:val="0"/>
              <w:jc w:val="center"/>
              <w:rPr>
                <w:rFonts w:cs="Tahoma" w:asciiTheme="minorEastAsia" w:hAnsiTheme="minorEastAsia"/>
                <w:szCs w:val="21"/>
              </w:rPr>
            </w:pPr>
          </w:p>
        </w:tc>
        <w:tc>
          <w:tcPr>
            <w:tcW w:w="450"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85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992"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c>
          <w:tcPr>
            <w:tcW w:w="721" w:type="dxa"/>
            <w:shd w:val="clear" w:color="auto" w:fill="auto"/>
            <w:tcMar>
              <w:left w:w="0" w:type="dxa"/>
              <w:right w:w="0" w:type="dxa"/>
            </w:tcMar>
            <w:vAlign w:val="center"/>
          </w:tcPr>
          <w:p>
            <w:pPr>
              <w:adjustRightInd w:val="0"/>
              <w:snapToGrid w:val="0"/>
              <w:jc w:val="center"/>
              <w:rPr>
                <w:rFonts w:cs="Tahoma" w:asciiTheme="minorEastAsia" w:hAnsiTheme="minorEastAsia"/>
                <w:szCs w:val="21"/>
              </w:rPr>
            </w:pPr>
          </w:p>
        </w:tc>
      </w:tr>
    </w:tbl>
    <w:p>
      <w:pPr>
        <w:pStyle w:val="15"/>
        <w:ind w:left="0"/>
        <w:jc w:val="center"/>
        <w:rPr>
          <w:sz w:val="30"/>
          <w:szCs w:val="30"/>
          <w:lang w:eastAsia="zh-CN"/>
        </w:rPr>
      </w:pPr>
    </w:p>
    <w:p>
      <w:pPr>
        <w:pStyle w:val="15"/>
        <w:adjustRightInd w:val="0"/>
        <w:snapToGrid w:val="0"/>
        <w:ind w:left="0"/>
        <w:jc w:val="center"/>
        <w:rPr>
          <w:rFonts w:ascii="黑体" w:hAnsi="黑体" w:eastAsia="黑体"/>
          <w:lang w:eastAsia="zh-CN"/>
        </w:rPr>
      </w:pPr>
      <w:r>
        <w:rPr>
          <w:rFonts w:hint="eastAsia" w:ascii="黑体" w:hAnsi="黑体" w:eastAsia="黑体"/>
          <w:lang w:eastAsia="zh-CN"/>
        </w:rPr>
        <w:t>表3 主要废气污染治理设施基本信息表（填写样例）</w:t>
      </w:r>
    </w:p>
    <w:tbl>
      <w:tblPr>
        <w:tblStyle w:val="41"/>
        <w:tblW w:w="10440" w:type="dxa"/>
        <w:jc w:val="center"/>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09"/>
        <w:gridCol w:w="708"/>
        <w:gridCol w:w="709"/>
        <w:gridCol w:w="1701"/>
        <w:gridCol w:w="709"/>
        <w:gridCol w:w="1214"/>
        <w:gridCol w:w="629"/>
        <w:gridCol w:w="879"/>
        <w:gridCol w:w="685"/>
        <w:gridCol w:w="687"/>
        <w:gridCol w:w="545"/>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tcMar>
              <w:left w:w="0" w:type="dxa"/>
              <w:right w:w="0" w:type="dxa"/>
            </w:tcMar>
            <w:vAlign w:val="center"/>
          </w:tcPr>
          <w:p>
            <w:pPr>
              <w:widowControl/>
              <w:jc w:val="left"/>
              <w:rPr>
                <w:rFonts w:ascii="黑体" w:hAnsi="黑体" w:eastAsia="黑体" w:cs="Tahoma"/>
                <w:color w:val="000000"/>
                <w:kern w:val="0"/>
                <w:szCs w:val="21"/>
              </w:rPr>
            </w:pPr>
            <w:r>
              <w:rPr>
                <w:rFonts w:hint="eastAsia" w:ascii="黑体" w:hAnsi="黑体" w:eastAsia="黑体" w:cs="Tahoma"/>
                <w:color w:val="000000"/>
                <w:kern w:val="0"/>
                <w:szCs w:val="21"/>
              </w:rPr>
              <w:t>治污单元名称</w:t>
            </w:r>
          </w:p>
        </w:tc>
        <w:tc>
          <w:tcPr>
            <w:tcW w:w="709"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治污单元序号</w:t>
            </w:r>
          </w:p>
        </w:tc>
        <w:tc>
          <w:tcPr>
            <w:tcW w:w="708"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治污设施名称</w:t>
            </w:r>
          </w:p>
        </w:tc>
        <w:tc>
          <w:tcPr>
            <w:tcW w:w="709"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治污设施序号</w:t>
            </w:r>
          </w:p>
        </w:tc>
        <w:tc>
          <w:tcPr>
            <w:tcW w:w="1701"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监测设备名称</w:t>
            </w:r>
          </w:p>
        </w:tc>
        <w:tc>
          <w:tcPr>
            <w:tcW w:w="709"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监测设备序号</w:t>
            </w:r>
          </w:p>
        </w:tc>
        <w:tc>
          <w:tcPr>
            <w:tcW w:w="1214" w:type="dxa"/>
            <w:shd w:val="clear" w:color="auto" w:fill="FFFFFF" w:themeFill="background1"/>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设备编码</w:t>
            </w:r>
          </w:p>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（系统生成）</w:t>
            </w:r>
          </w:p>
        </w:tc>
        <w:tc>
          <w:tcPr>
            <w:tcW w:w="629" w:type="dxa"/>
            <w:shd w:val="clear" w:color="auto" w:fill="FFFFFF" w:themeFill="background1"/>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设备功率</w:t>
            </w:r>
          </w:p>
        </w:tc>
        <w:tc>
          <w:tcPr>
            <w:tcW w:w="879"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备用关系</w:t>
            </w:r>
          </w:p>
        </w:tc>
        <w:tc>
          <w:tcPr>
            <w:tcW w:w="685" w:type="dxa"/>
            <w:tcMar>
              <w:left w:w="0" w:type="dxa"/>
              <w:right w:w="0" w:type="dxa"/>
            </w:tcMar>
            <w:vAlign w:val="center"/>
          </w:tcPr>
          <w:p>
            <w:pPr>
              <w:widowControl/>
              <w:jc w:val="center"/>
              <w:rPr>
                <w:rFonts w:ascii="黑体" w:hAnsi="黑体" w:eastAsia="黑体" w:cs="Tahoma"/>
                <w:kern w:val="0"/>
                <w:szCs w:val="21"/>
              </w:rPr>
            </w:pPr>
            <w:r>
              <w:rPr>
                <w:rFonts w:hint="eastAsia" w:ascii="黑体" w:hAnsi="黑体" w:eastAsia="黑体" w:cs="Tahoma"/>
                <w:color w:val="000000"/>
                <w:kern w:val="0"/>
                <w:szCs w:val="21"/>
              </w:rPr>
              <w:t>生产单元名称</w:t>
            </w:r>
          </w:p>
        </w:tc>
        <w:tc>
          <w:tcPr>
            <w:tcW w:w="687" w:type="dxa"/>
            <w:tcMar>
              <w:left w:w="0" w:type="dxa"/>
              <w:right w:w="0" w:type="dxa"/>
            </w:tcMa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生产单元序号</w:t>
            </w:r>
          </w:p>
        </w:tc>
        <w:tc>
          <w:tcPr>
            <w:tcW w:w="545" w:type="dxa"/>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排口</w:t>
            </w:r>
          </w:p>
        </w:tc>
        <w:tc>
          <w:tcPr>
            <w:tcW w:w="545" w:type="dxa"/>
            <w:tcMar>
              <w:left w:w="0" w:type="dxa"/>
              <w:right w:w="0" w:type="dxa"/>
            </w:tcMar>
            <w:vAlign w:val="center"/>
          </w:tcPr>
          <w:p>
            <w:pPr>
              <w:widowControl/>
              <w:jc w:val="center"/>
              <w:rPr>
                <w:rFonts w:ascii="黑体" w:hAnsi="黑体" w:eastAsia="黑体" w:cs="Tahoma"/>
                <w:color w:val="000000"/>
                <w:kern w:val="0"/>
                <w:szCs w:val="21"/>
              </w:rPr>
            </w:pPr>
            <w:r>
              <w:rPr>
                <w:rFonts w:hint="eastAsia" w:ascii="黑体" w:hAnsi="黑体" w:eastAsia="黑体" w:cs="Tahoma"/>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r>
              <w:rPr>
                <w:rFonts w:hint="eastAsia" w:cs="Tahoma" w:asciiTheme="minorEastAsia" w:hAnsiTheme="minorEastAsia"/>
                <w:szCs w:val="21"/>
              </w:rPr>
              <w:t>炉废气治理</w:t>
            </w:r>
          </w:p>
        </w:tc>
        <w:tc>
          <w:tcPr>
            <w:tcW w:w="709"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p>
        </w:tc>
        <w:tc>
          <w:tcPr>
            <w:tcW w:w="708"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r>
              <w:rPr>
                <w:rFonts w:hint="eastAsia" w:cs="Tahoma" w:asciiTheme="minorEastAsia" w:hAnsiTheme="minorEastAsia"/>
                <w:szCs w:val="21"/>
              </w:rPr>
              <w:t>炉脱硫系统</w:t>
            </w:r>
          </w:p>
        </w:tc>
        <w:tc>
          <w:tcPr>
            <w:tcW w:w="709"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p>
        </w:tc>
        <w:tc>
          <w:tcPr>
            <w:tcW w:w="1701"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1</w:t>
            </w:r>
            <w:r>
              <w:rPr>
                <w:rFonts w:hint="eastAsia" w:cs="Tahoma" w:asciiTheme="minorEastAsia" w:hAnsiTheme="minorEastAsia"/>
                <w:szCs w:val="21"/>
              </w:rPr>
              <w:t>脱硫系统#</w:t>
            </w:r>
            <w:r>
              <w:rPr>
                <w:rFonts w:cs="Tahoma" w:asciiTheme="minorEastAsia" w:hAnsiTheme="minorEastAsia"/>
                <w:szCs w:val="21"/>
              </w:rPr>
              <w:t>1</w:t>
            </w:r>
            <w:r>
              <w:rPr>
                <w:rFonts w:hint="eastAsia" w:cs="Tahoma" w:asciiTheme="minorEastAsia" w:hAnsiTheme="minorEastAsia"/>
                <w:szCs w:val="21"/>
              </w:rPr>
              <w:t>循环水泵</w:t>
            </w:r>
          </w:p>
        </w:tc>
        <w:tc>
          <w:tcPr>
            <w:tcW w:w="709" w:type="dxa"/>
            <w:shd w:val="clear" w:color="auto" w:fill="auto"/>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01</w:t>
            </w:r>
          </w:p>
        </w:tc>
        <w:tc>
          <w:tcPr>
            <w:tcW w:w="1214"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5kw</w:t>
            </w:r>
          </w:p>
        </w:tc>
        <w:tc>
          <w:tcPr>
            <w:tcW w:w="87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X主X备</w:t>
            </w:r>
          </w:p>
        </w:tc>
        <w:tc>
          <w:tcPr>
            <w:tcW w:w="685" w:type="dxa"/>
            <w:vMerge w:val="restart"/>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1</w:t>
            </w:r>
            <w:r>
              <w:rPr>
                <w:rFonts w:hint="eastAsia" w:cs="Tahoma" w:asciiTheme="minorEastAsia" w:hAnsiTheme="minorEastAsia"/>
                <w:szCs w:val="21"/>
              </w:rPr>
              <w:t>锅炉</w:t>
            </w:r>
          </w:p>
        </w:tc>
        <w:tc>
          <w:tcPr>
            <w:tcW w:w="687"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p>
        </w:tc>
        <w:tc>
          <w:tcPr>
            <w:tcW w:w="545" w:type="dxa"/>
            <w:vMerge w:val="restart"/>
          </w:tcPr>
          <w:p>
            <w:pPr>
              <w:jc w:val="center"/>
              <w:rPr>
                <w:rFonts w:cs="Tahoma" w:asciiTheme="minorEastAsia" w:hAnsiTheme="minorEastAsia"/>
                <w:szCs w:val="21"/>
              </w:rPr>
            </w:pPr>
            <w:r>
              <w:rPr>
                <w:rFonts w:hint="eastAsia" w:cs="Tahoma" w:asciiTheme="minorEastAsia" w:hAnsiTheme="minorEastAsia"/>
                <w:szCs w:val="21"/>
              </w:rPr>
              <w:t>1#，3#</w:t>
            </w:r>
          </w:p>
        </w:tc>
        <w:tc>
          <w:tcPr>
            <w:tcW w:w="545"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708"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1701"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1</w:t>
            </w:r>
            <w:r>
              <w:rPr>
                <w:rFonts w:hint="eastAsia" w:cs="Tahoma" w:asciiTheme="minorEastAsia" w:hAnsiTheme="minorEastAsia"/>
                <w:szCs w:val="21"/>
              </w:rPr>
              <w:t>脱硫系统#</w:t>
            </w:r>
            <w:r>
              <w:rPr>
                <w:rFonts w:cs="Tahoma" w:asciiTheme="minorEastAsia" w:hAnsiTheme="minorEastAsia"/>
                <w:szCs w:val="21"/>
              </w:rPr>
              <w:t>2</w:t>
            </w:r>
            <w:r>
              <w:rPr>
                <w:rFonts w:hint="eastAsia" w:cs="Tahoma" w:asciiTheme="minorEastAsia" w:hAnsiTheme="minorEastAsia"/>
                <w:szCs w:val="21"/>
              </w:rPr>
              <w:t>循环水泵</w:t>
            </w:r>
          </w:p>
        </w:tc>
        <w:tc>
          <w:tcPr>
            <w:tcW w:w="70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0</w:t>
            </w:r>
            <w:r>
              <w:rPr>
                <w:rFonts w:cs="Tahoma" w:asciiTheme="minorEastAsia" w:hAnsiTheme="minorEastAsia"/>
                <w:szCs w:val="21"/>
              </w:rPr>
              <w:t>2</w:t>
            </w:r>
          </w:p>
        </w:tc>
        <w:tc>
          <w:tcPr>
            <w:tcW w:w="1214"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5kw</w:t>
            </w:r>
          </w:p>
        </w:tc>
        <w:tc>
          <w:tcPr>
            <w:tcW w:w="87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X主X备</w:t>
            </w:r>
          </w:p>
        </w:tc>
        <w:tc>
          <w:tcPr>
            <w:tcW w:w="685" w:type="dxa"/>
            <w:vMerge w:val="continue"/>
            <w:shd w:val="clear" w:color="auto" w:fill="auto"/>
            <w:tcMar>
              <w:left w:w="0" w:type="dxa"/>
              <w:right w:w="0" w:type="dxa"/>
            </w:tcMar>
            <w:vAlign w:val="center"/>
          </w:tcPr>
          <w:p>
            <w:pPr>
              <w:jc w:val="center"/>
              <w:rPr>
                <w:rFonts w:cs="Tahoma" w:asciiTheme="minorEastAsia" w:hAnsiTheme="minorEastAsia"/>
                <w:szCs w:val="21"/>
              </w:rPr>
            </w:pPr>
          </w:p>
        </w:tc>
        <w:tc>
          <w:tcPr>
            <w:tcW w:w="687" w:type="dxa"/>
            <w:vMerge w:val="continue"/>
            <w:tcMar>
              <w:left w:w="0" w:type="dxa"/>
              <w:right w:w="0" w:type="dxa"/>
            </w:tcMar>
          </w:tcPr>
          <w:p>
            <w:pPr>
              <w:jc w:val="center"/>
              <w:rPr>
                <w:rFonts w:cs="Tahoma" w:asciiTheme="minorEastAsia" w:hAnsiTheme="minorEastAsia"/>
                <w:szCs w:val="21"/>
              </w:rPr>
            </w:pPr>
          </w:p>
        </w:tc>
        <w:tc>
          <w:tcPr>
            <w:tcW w:w="545" w:type="dxa"/>
            <w:vMerge w:val="continue"/>
          </w:tcPr>
          <w:p>
            <w:pPr>
              <w:jc w:val="center"/>
              <w:rPr>
                <w:rFonts w:cs="Tahoma" w:asciiTheme="minorEastAsia" w:hAnsiTheme="minorEastAsia"/>
                <w:szCs w:val="21"/>
              </w:rPr>
            </w:pPr>
          </w:p>
        </w:tc>
        <w:tc>
          <w:tcPr>
            <w:tcW w:w="545"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708" w:type="dxa"/>
            <w:tcMar>
              <w:left w:w="0" w:type="dxa"/>
              <w:right w:w="0" w:type="dxa"/>
            </w:tcMar>
            <w:vAlign w:val="center"/>
          </w:tcPr>
          <w:p>
            <w:pPr>
              <w:jc w:val="center"/>
              <w:rPr>
                <w:rFonts w:cs="Tahoma" w:asciiTheme="minorEastAsia" w:hAnsiTheme="minorEastAsia"/>
                <w:szCs w:val="21"/>
              </w:rPr>
            </w:pPr>
          </w:p>
        </w:tc>
        <w:tc>
          <w:tcPr>
            <w:tcW w:w="709" w:type="dxa"/>
            <w:tcMar>
              <w:left w:w="0" w:type="dxa"/>
              <w:right w:w="0" w:type="dxa"/>
            </w:tcMar>
            <w:vAlign w:val="center"/>
          </w:tcPr>
          <w:p>
            <w:pPr>
              <w:jc w:val="center"/>
              <w:rPr>
                <w:rFonts w:cs="Tahoma" w:asciiTheme="minorEastAsia" w:hAnsiTheme="minorEastAsia"/>
                <w:szCs w:val="21"/>
              </w:rPr>
            </w:pPr>
          </w:p>
        </w:tc>
        <w:tc>
          <w:tcPr>
            <w:tcW w:w="1701" w:type="dxa"/>
            <w:shd w:val="clear" w:color="auto" w:fill="auto"/>
            <w:tcMar>
              <w:left w:w="0" w:type="dxa"/>
              <w:right w:w="0" w:type="dxa"/>
            </w:tcMar>
            <w:vAlign w:val="center"/>
          </w:tcPr>
          <w:p>
            <w:pPr>
              <w:jc w:val="center"/>
              <w:rPr>
                <w:rFonts w:cs="Tahoma" w:asciiTheme="minorEastAsia" w:hAnsiTheme="minorEastAsia"/>
                <w:szCs w:val="21"/>
              </w:rPr>
            </w:pPr>
          </w:p>
        </w:tc>
        <w:tc>
          <w:tcPr>
            <w:tcW w:w="709" w:type="dxa"/>
            <w:shd w:val="clear" w:color="auto" w:fill="auto"/>
            <w:tcMar>
              <w:left w:w="0" w:type="dxa"/>
              <w:right w:w="0" w:type="dxa"/>
            </w:tcMar>
            <w:vAlign w:val="center"/>
          </w:tcPr>
          <w:p>
            <w:pPr>
              <w:jc w:val="center"/>
              <w:rPr>
                <w:rFonts w:cs="Tahoma" w:asciiTheme="minorEastAsia" w:hAnsiTheme="minorEastAsia"/>
                <w:szCs w:val="21"/>
              </w:rPr>
            </w:pPr>
          </w:p>
        </w:tc>
        <w:tc>
          <w:tcPr>
            <w:tcW w:w="1214" w:type="dxa"/>
            <w:shd w:val="clear" w:color="auto" w:fill="FFFFFF" w:themeFill="background1"/>
            <w:tcMar>
              <w:left w:w="0" w:type="dxa"/>
              <w:right w:w="0" w:type="dxa"/>
            </w:tcMar>
          </w:tcPr>
          <w:p>
            <w:pPr>
              <w:jc w:val="center"/>
              <w:rPr>
                <w:rFonts w:cs="Tahoma" w:asciiTheme="minorEastAsia" w:hAnsiTheme="minorEastAsia"/>
                <w:szCs w:val="21"/>
              </w:rPr>
            </w:pP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p>
        </w:tc>
        <w:tc>
          <w:tcPr>
            <w:tcW w:w="879" w:type="dxa"/>
            <w:shd w:val="clear" w:color="auto" w:fill="auto"/>
            <w:tcMar>
              <w:left w:w="0" w:type="dxa"/>
              <w:right w:w="0" w:type="dxa"/>
            </w:tcMar>
            <w:vAlign w:val="center"/>
          </w:tcPr>
          <w:p>
            <w:pPr>
              <w:jc w:val="center"/>
              <w:rPr>
                <w:rFonts w:cs="Tahoma" w:asciiTheme="minorEastAsia" w:hAnsiTheme="minorEastAsia"/>
                <w:szCs w:val="21"/>
              </w:rPr>
            </w:pPr>
          </w:p>
        </w:tc>
        <w:tc>
          <w:tcPr>
            <w:tcW w:w="685" w:type="dxa"/>
            <w:vMerge w:val="continue"/>
            <w:shd w:val="clear" w:color="auto" w:fill="auto"/>
            <w:tcMar>
              <w:left w:w="0" w:type="dxa"/>
              <w:right w:w="0" w:type="dxa"/>
            </w:tcMar>
            <w:vAlign w:val="center"/>
          </w:tcPr>
          <w:p>
            <w:pPr>
              <w:jc w:val="center"/>
              <w:rPr>
                <w:rFonts w:cs="Tahoma" w:asciiTheme="minorEastAsia" w:hAnsiTheme="minorEastAsia"/>
                <w:szCs w:val="21"/>
              </w:rPr>
            </w:pPr>
          </w:p>
        </w:tc>
        <w:tc>
          <w:tcPr>
            <w:tcW w:w="687" w:type="dxa"/>
            <w:vMerge w:val="continue"/>
            <w:tcMar>
              <w:left w:w="0" w:type="dxa"/>
              <w:right w:w="0" w:type="dxa"/>
            </w:tcMar>
          </w:tcPr>
          <w:p>
            <w:pPr>
              <w:jc w:val="center"/>
              <w:rPr>
                <w:rFonts w:cs="Tahoma" w:asciiTheme="minorEastAsia" w:hAnsiTheme="minorEastAsia"/>
                <w:szCs w:val="21"/>
              </w:rPr>
            </w:pPr>
          </w:p>
        </w:tc>
        <w:tc>
          <w:tcPr>
            <w:tcW w:w="545" w:type="dxa"/>
            <w:vMerge w:val="continue"/>
          </w:tcPr>
          <w:p>
            <w:pPr>
              <w:jc w:val="center"/>
              <w:rPr>
                <w:rFonts w:cs="Tahoma" w:asciiTheme="minorEastAsia" w:hAnsiTheme="minorEastAsia"/>
                <w:szCs w:val="21"/>
              </w:rPr>
            </w:pPr>
          </w:p>
        </w:tc>
        <w:tc>
          <w:tcPr>
            <w:tcW w:w="545" w:type="dxa"/>
            <w:shd w:val="clear" w:color="auto" w:fill="auto"/>
            <w:tcMar>
              <w:left w:w="0" w:type="dxa"/>
              <w:right w:w="0" w:type="dxa"/>
            </w:tcMar>
            <w:vAlign w:val="center"/>
          </w:tcPr>
          <w:p>
            <w:pPr>
              <w:jc w:val="center"/>
              <w:rPr>
                <w:rFonts w:cs="Tahoma"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restart"/>
            <w:shd w:val="clear" w:color="auto" w:fill="auto"/>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#2</w:t>
            </w:r>
            <w:r>
              <w:rPr>
                <w:rFonts w:hint="eastAsia" w:cs="Tahoma" w:asciiTheme="minorEastAsia" w:hAnsiTheme="minorEastAsia"/>
                <w:szCs w:val="21"/>
              </w:rPr>
              <w:t>炉废气治理</w:t>
            </w:r>
          </w:p>
        </w:tc>
        <w:tc>
          <w:tcPr>
            <w:tcW w:w="709"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2</w:t>
            </w:r>
          </w:p>
        </w:tc>
        <w:tc>
          <w:tcPr>
            <w:tcW w:w="708"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#2</w:t>
            </w:r>
            <w:r>
              <w:rPr>
                <w:rFonts w:hint="eastAsia" w:cs="Tahoma" w:asciiTheme="minorEastAsia" w:hAnsiTheme="minorEastAsia"/>
                <w:szCs w:val="21"/>
              </w:rPr>
              <w:t>炉脱硫系统</w:t>
            </w:r>
          </w:p>
        </w:tc>
        <w:tc>
          <w:tcPr>
            <w:tcW w:w="709"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1</w:t>
            </w:r>
          </w:p>
        </w:tc>
        <w:tc>
          <w:tcPr>
            <w:tcW w:w="1701"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2</w:t>
            </w:r>
            <w:r>
              <w:rPr>
                <w:rFonts w:hint="eastAsia" w:cs="Tahoma" w:asciiTheme="minorEastAsia" w:hAnsiTheme="minorEastAsia"/>
                <w:szCs w:val="21"/>
              </w:rPr>
              <w:t>脱硫系统#</w:t>
            </w:r>
            <w:r>
              <w:rPr>
                <w:rFonts w:cs="Tahoma" w:asciiTheme="minorEastAsia" w:hAnsiTheme="minorEastAsia"/>
                <w:szCs w:val="21"/>
              </w:rPr>
              <w:t>1</w:t>
            </w:r>
            <w:r>
              <w:rPr>
                <w:rFonts w:hint="eastAsia" w:cs="Tahoma" w:asciiTheme="minorEastAsia" w:hAnsiTheme="minorEastAsia"/>
                <w:szCs w:val="21"/>
              </w:rPr>
              <w:t>循环水泵</w:t>
            </w:r>
          </w:p>
        </w:tc>
        <w:tc>
          <w:tcPr>
            <w:tcW w:w="709" w:type="dxa"/>
            <w:shd w:val="clear" w:color="auto" w:fill="auto"/>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01</w:t>
            </w:r>
          </w:p>
        </w:tc>
        <w:tc>
          <w:tcPr>
            <w:tcW w:w="1214"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5kw</w:t>
            </w:r>
          </w:p>
        </w:tc>
        <w:tc>
          <w:tcPr>
            <w:tcW w:w="87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X主X备</w:t>
            </w:r>
          </w:p>
        </w:tc>
        <w:tc>
          <w:tcPr>
            <w:tcW w:w="685" w:type="dxa"/>
            <w:vMerge w:val="restart"/>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2</w:t>
            </w:r>
            <w:r>
              <w:rPr>
                <w:rFonts w:hint="eastAsia" w:cs="Tahoma" w:asciiTheme="minorEastAsia" w:hAnsiTheme="minorEastAsia"/>
                <w:szCs w:val="21"/>
              </w:rPr>
              <w:t>锅炉</w:t>
            </w:r>
          </w:p>
        </w:tc>
        <w:tc>
          <w:tcPr>
            <w:tcW w:w="687" w:type="dxa"/>
            <w:vMerge w:val="restart"/>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2</w:t>
            </w:r>
          </w:p>
        </w:tc>
        <w:tc>
          <w:tcPr>
            <w:tcW w:w="545" w:type="dxa"/>
            <w:vMerge w:val="restart"/>
          </w:tcPr>
          <w:p>
            <w:pPr>
              <w:jc w:val="center"/>
              <w:rPr>
                <w:rFonts w:cs="Tahoma" w:asciiTheme="minorEastAsia" w:hAnsiTheme="minorEastAsia"/>
                <w:szCs w:val="21"/>
              </w:rPr>
            </w:pPr>
            <w:r>
              <w:rPr>
                <w:rFonts w:hint="eastAsia" w:cs="Tahoma" w:asciiTheme="minorEastAsia" w:hAnsiTheme="minorEastAsia"/>
                <w:szCs w:val="21"/>
              </w:rPr>
              <w:t>2#，4#</w:t>
            </w:r>
          </w:p>
        </w:tc>
        <w:tc>
          <w:tcPr>
            <w:tcW w:w="545"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708"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1701"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w:t>
            </w:r>
            <w:r>
              <w:rPr>
                <w:rFonts w:cs="Tahoma" w:asciiTheme="minorEastAsia" w:hAnsiTheme="minorEastAsia"/>
                <w:szCs w:val="21"/>
              </w:rPr>
              <w:t>2</w:t>
            </w:r>
            <w:r>
              <w:rPr>
                <w:rFonts w:hint="eastAsia" w:cs="Tahoma" w:asciiTheme="minorEastAsia" w:hAnsiTheme="minorEastAsia"/>
                <w:szCs w:val="21"/>
              </w:rPr>
              <w:t>脱硫系统#</w:t>
            </w:r>
            <w:r>
              <w:rPr>
                <w:rFonts w:cs="Tahoma" w:asciiTheme="minorEastAsia" w:hAnsiTheme="minorEastAsia"/>
                <w:szCs w:val="21"/>
              </w:rPr>
              <w:t>2</w:t>
            </w:r>
            <w:r>
              <w:rPr>
                <w:rFonts w:hint="eastAsia" w:cs="Tahoma" w:asciiTheme="minorEastAsia" w:hAnsiTheme="minorEastAsia"/>
                <w:szCs w:val="21"/>
              </w:rPr>
              <w:t>循环水泵</w:t>
            </w:r>
          </w:p>
        </w:tc>
        <w:tc>
          <w:tcPr>
            <w:tcW w:w="70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0</w:t>
            </w:r>
            <w:r>
              <w:rPr>
                <w:rFonts w:cs="Tahoma" w:asciiTheme="minorEastAsia" w:hAnsiTheme="minorEastAsia"/>
                <w:szCs w:val="21"/>
              </w:rPr>
              <w:t>2</w:t>
            </w:r>
          </w:p>
        </w:tc>
        <w:tc>
          <w:tcPr>
            <w:tcW w:w="1214"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w:t>
            </w:r>
            <w:r>
              <w:rPr>
                <w:rFonts w:cs="Tahoma" w:asciiTheme="minorEastAsia" w:hAnsiTheme="minorEastAsia"/>
                <w:szCs w:val="21"/>
              </w:rPr>
              <w:t>XXXXX</w:t>
            </w: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r>
              <w:rPr>
                <w:rFonts w:cs="Tahoma" w:asciiTheme="minorEastAsia" w:hAnsiTheme="minorEastAsia"/>
                <w:szCs w:val="21"/>
              </w:rPr>
              <w:t>5kw</w:t>
            </w:r>
          </w:p>
        </w:tc>
        <w:tc>
          <w:tcPr>
            <w:tcW w:w="879"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X主X备</w:t>
            </w:r>
          </w:p>
        </w:tc>
        <w:tc>
          <w:tcPr>
            <w:tcW w:w="685" w:type="dxa"/>
            <w:vMerge w:val="continue"/>
            <w:shd w:val="clear" w:color="auto" w:fill="auto"/>
            <w:tcMar>
              <w:left w:w="0" w:type="dxa"/>
              <w:right w:w="0" w:type="dxa"/>
            </w:tcMar>
            <w:vAlign w:val="center"/>
          </w:tcPr>
          <w:p>
            <w:pPr>
              <w:jc w:val="center"/>
              <w:rPr>
                <w:rFonts w:cs="Tahoma" w:asciiTheme="minorEastAsia" w:hAnsiTheme="minorEastAsia"/>
                <w:szCs w:val="21"/>
              </w:rPr>
            </w:pPr>
          </w:p>
        </w:tc>
        <w:tc>
          <w:tcPr>
            <w:tcW w:w="687" w:type="dxa"/>
            <w:vMerge w:val="continue"/>
            <w:tcMar>
              <w:left w:w="0" w:type="dxa"/>
              <w:right w:w="0" w:type="dxa"/>
            </w:tcMar>
          </w:tcPr>
          <w:p>
            <w:pPr>
              <w:jc w:val="center"/>
              <w:rPr>
                <w:rFonts w:cs="Tahoma" w:asciiTheme="minorEastAsia" w:hAnsiTheme="minorEastAsia"/>
                <w:szCs w:val="21"/>
              </w:rPr>
            </w:pPr>
          </w:p>
        </w:tc>
        <w:tc>
          <w:tcPr>
            <w:tcW w:w="545" w:type="dxa"/>
            <w:vMerge w:val="continue"/>
          </w:tcPr>
          <w:p>
            <w:pPr>
              <w:jc w:val="center"/>
              <w:rPr>
                <w:rFonts w:cs="Tahoma" w:asciiTheme="minorEastAsia" w:hAnsiTheme="minorEastAsia"/>
                <w:szCs w:val="21"/>
              </w:rPr>
            </w:pPr>
          </w:p>
        </w:tc>
        <w:tc>
          <w:tcPr>
            <w:tcW w:w="545" w:type="dxa"/>
            <w:shd w:val="clear" w:color="auto" w:fill="auto"/>
            <w:tcMar>
              <w:left w:w="0" w:type="dxa"/>
              <w:right w:w="0" w:type="dxa"/>
            </w:tcMar>
            <w:vAlign w:val="center"/>
          </w:tcPr>
          <w:p>
            <w:pPr>
              <w:jc w:val="center"/>
              <w:rPr>
                <w:rFonts w:cs="Tahoma" w:asciiTheme="minorEastAsia" w:hAnsiTheme="minorEastAsia"/>
                <w:szCs w:val="21"/>
              </w:rPr>
            </w:pPr>
            <w:r>
              <w:rPr>
                <w:rFonts w:hint="eastAsia" w:cs="Tahom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Merge w:val="continue"/>
            <w:tcMar>
              <w:left w:w="0" w:type="dxa"/>
              <w:right w:w="0" w:type="dxa"/>
            </w:tcMar>
            <w:vAlign w:val="center"/>
          </w:tcPr>
          <w:p>
            <w:pPr>
              <w:jc w:val="center"/>
              <w:rPr>
                <w:rFonts w:cs="Tahoma" w:asciiTheme="minorEastAsia" w:hAnsiTheme="minorEastAsia"/>
                <w:szCs w:val="21"/>
              </w:rPr>
            </w:pPr>
          </w:p>
        </w:tc>
        <w:tc>
          <w:tcPr>
            <w:tcW w:w="709" w:type="dxa"/>
            <w:vMerge w:val="continue"/>
            <w:tcMar>
              <w:left w:w="0" w:type="dxa"/>
              <w:right w:w="0" w:type="dxa"/>
            </w:tcMar>
            <w:vAlign w:val="center"/>
          </w:tcPr>
          <w:p>
            <w:pPr>
              <w:jc w:val="center"/>
              <w:rPr>
                <w:rFonts w:cs="Tahoma" w:asciiTheme="minorEastAsia" w:hAnsiTheme="minorEastAsia"/>
                <w:szCs w:val="21"/>
              </w:rPr>
            </w:pPr>
          </w:p>
        </w:tc>
        <w:tc>
          <w:tcPr>
            <w:tcW w:w="708" w:type="dxa"/>
            <w:tcMar>
              <w:left w:w="0" w:type="dxa"/>
              <w:right w:w="0" w:type="dxa"/>
            </w:tcMar>
            <w:vAlign w:val="center"/>
          </w:tcPr>
          <w:p>
            <w:pPr>
              <w:jc w:val="center"/>
              <w:rPr>
                <w:rFonts w:cs="Tahoma" w:asciiTheme="minorEastAsia" w:hAnsiTheme="minorEastAsia"/>
                <w:szCs w:val="21"/>
              </w:rPr>
            </w:pPr>
          </w:p>
        </w:tc>
        <w:tc>
          <w:tcPr>
            <w:tcW w:w="709" w:type="dxa"/>
            <w:tcMar>
              <w:left w:w="0" w:type="dxa"/>
              <w:right w:w="0" w:type="dxa"/>
            </w:tcMar>
            <w:vAlign w:val="center"/>
          </w:tcPr>
          <w:p>
            <w:pPr>
              <w:jc w:val="center"/>
              <w:rPr>
                <w:rFonts w:cs="Tahoma" w:asciiTheme="minorEastAsia" w:hAnsiTheme="minorEastAsia"/>
                <w:szCs w:val="21"/>
              </w:rPr>
            </w:pPr>
          </w:p>
        </w:tc>
        <w:tc>
          <w:tcPr>
            <w:tcW w:w="1701" w:type="dxa"/>
            <w:shd w:val="clear" w:color="auto" w:fill="auto"/>
            <w:tcMar>
              <w:left w:w="0" w:type="dxa"/>
              <w:right w:w="0" w:type="dxa"/>
            </w:tcMar>
            <w:vAlign w:val="center"/>
          </w:tcPr>
          <w:p>
            <w:pPr>
              <w:jc w:val="center"/>
              <w:rPr>
                <w:rFonts w:cs="Tahoma" w:asciiTheme="minorEastAsia" w:hAnsiTheme="minorEastAsia"/>
                <w:szCs w:val="21"/>
              </w:rPr>
            </w:pPr>
          </w:p>
        </w:tc>
        <w:tc>
          <w:tcPr>
            <w:tcW w:w="709" w:type="dxa"/>
            <w:shd w:val="clear" w:color="auto" w:fill="auto"/>
            <w:tcMar>
              <w:left w:w="0" w:type="dxa"/>
              <w:right w:w="0" w:type="dxa"/>
            </w:tcMar>
            <w:vAlign w:val="center"/>
          </w:tcPr>
          <w:p>
            <w:pPr>
              <w:jc w:val="center"/>
              <w:rPr>
                <w:rFonts w:cs="Tahoma" w:asciiTheme="minorEastAsia" w:hAnsiTheme="minorEastAsia"/>
                <w:szCs w:val="21"/>
              </w:rPr>
            </w:pPr>
          </w:p>
        </w:tc>
        <w:tc>
          <w:tcPr>
            <w:tcW w:w="1214" w:type="dxa"/>
            <w:shd w:val="clear" w:color="auto" w:fill="FFFFFF" w:themeFill="background1"/>
            <w:tcMar>
              <w:left w:w="0" w:type="dxa"/>
              <w:right w:w="0" w:type="dxa"/>
            </w:tcMar>
          </w:tcPr>
          <w:p>
            <w:pPr>
              <w:jc w:val="center"/>
              <w:rPr>
                <w:rFonts w:cs="Tahoma" w:asciiTheme="minorEastAsia" w:hAnsiTheme="minorEastAsia"/>
                <w:szCs w:val="21"/>
              </w:rPr>
            </w:pPr>
          </w:p>
        </w:tc>
        <w:tc>
          <w:tcPr>
            <w:tcW w:w="629" w:type="dxa"/>
            <w:shd w:val="clear" w:color="auto" w:fill="FFFFFF" w:themeFill="background1"/>
            <w:tcMar>
              <w:left w:w="0" w:type="dxa"/>
              <w:right w:w="0" w:type="dxa"/>
            </w:tcMar>
            <w:vAlign w:val="center"/>
          </w:tcPr>
          <w:p>
            <w:pPr>
              <w:jc w:val="center"/>
              <w:rPr>
                <w:rFonts w:cs="Tahoma" w:asciiTheme="minorEastAsia" w:hAnsiTheme="minorEastAsia"/>
                <w:szCs w:val="21"/>
              </w:rPr>
            </w:pPr>
          </w:p>
        </w:tc>
        <w:tc>
          <w:tcPr>
            <w:tcW w:w="879" w:type="dxa"/>
            <w:shd w:val="clear" w:color="auto" w:fill="auto"/>
            <w:tcMar>
              <w:left w:w="0" w:type="dxa"/>
              <w:right w:w="0" w:type="dxa"/>
            </w:tcMar>
            <w:vAlign w:val="center"/>
          </w:tcPr>
          <w:p>
            <w:pPr>
              <w:jc w:val="center"/>
              <w:rPr>
                <w:rFonts w:cs="Tahoma" w:asciiTheme="minorEastAsia" w:hAnsiTheme="minorEastAsia"/>
                <w:szCs w:val="21"/>
              </w:rPr>
            </w:pPr>
          </w:p>
        </w:tc>
        <w:tc>
          <w:tcPr>
            <w:tcW w:w="685" w:type="dxa"/>
            <w:shd w:val="clear" w:color="auto" w:fill="auto"/>
            <w:tcMar>
              <w:left w:w="0" w:type="dxa"/>
              <w:right w:w="0" w:type="dxa"/>
            </w:tcMar>
            <w:vAlign w:val="center"/>
          </w:tcPr>
          <w:p>
            <w:pPr>
              <w:jc w:val="center"/>
              <w:rPr>
                <w:rFonts w:cs="Tahoma" w:asciiTheme="minorEastAsia" w:hAnsiTheme="minorEastAsia"/>
                <w:szCs w:val="21"/>
              </w:rPr>
            </w:pPr>
          </w:p>
        </w:tc>
        <w:tc>
          <w:tcPr>
            <w:tcW w:w="687" w:type="dxa"/>
            <w:tcMar>
              <w:left w:w="0" w:type="dxa"/>
              <w:right w:w="0" w:type="dxa"/>
            </w:tcMar>
          </w:tcPr>
          <w:p>
            <w:pPr>
              <w:jc w:val="center"/>
              <w:rPr>
                <w:rFonts w:cs="Tahoma" w:asciiTheme="minorEastAsia" w:hAnsiTheme="minorEastAsia"/>
                <w:szCs w:val="21"/>
              </w:rPr>
            </w:pPr>
          </w:p>
        </w:tc>
        <w:tc>
          <w:tcPr>
            <w:tcW w:w="545" w:type="dxa"/>
            <w:vMerge w:val="continue"/>
          </w:tcPr>
          <w:p>
            <w:pPr>
              <w:jc w:val="center"/>
              <w:rPr>
                <w:rFonts w:cs="Tahoma" w:asciiTheme="minorEastAsia" w:hAnsiTheme="minorEastAsia"/>
                <w:szCs w:val="21"/>
              </w:rPr>
            </w:pPr>
          </w:p>
        </w:tc>
        <w:tc>
          <w:tcPr>
            <w:tcW w:w="545" w:type="dxa"/>
            <w:shd w:val="clear" w:color="auto" w:fill="auto"/>
            <w:tcMar>
              <w:left w:w="0" w:type="dxa"/>
              <w:right w:w="0" w:type="dxa"/>
            </w:tcMar>
            <w:vAlign w:val="center"/>
          </w:tcPr>
          <w:p>
            <w:pPr>
              <w:jc w:val="center"/>
              <w:rPr>
                <w:rFonts w:cs="Tahoma" w:asciiTheme="minorEastAsia" w:hAnsiTheme="minorEastAsia"/>
                <w:szCs w:val="21"/>
              </w:rPr>
            </w:pPr>
          </w:p>
        </w:tc>
      </w:tr>
    </w:tbl>
    <w:p>
      <w:pPr>
        <w:pStyle w:val="68"/>
        <w:numPr>
          <w:ilvl w:val="0"/>
          <w:numId w:val="0"/>
        </w:numPr>
        <w:rPr>
          <w:rFonts w:cs="Tahoma"/>
          <w:color w:val="000000"/>
          <w:sz w:val="22"/>
        </w:rPr>
      </w:pPr>
    </w:p>
    <w:p>
      <w:pPr>
        <w:widowControl/>
        <w:jc w:val="left"/>
        <w:rPr>
          <w:rFonts w:asciiTheme="minorEastAsia" w:hAnsiTheme="minorEastAsia" w:cstheme="minorEastAsia"/>
          <w:b/>
          <w:bCs/>
          <w:color w:val="000000"/>
          <w:kern w:val="0"/>
          <w:szCs w:val="21"/>
        </w:rPr>
      </w:pPr>
      <w:r>
        <w:rPr>
          <w:rFonts w:hint="eastAsia" w:asciiTheme="minorEastAsia" w:hAnsiTheme="minorEastAsia" w:cstheme="minorEastAsia"/>
          <w:b/>
          <w:bCs/>
          <w:color w:val="000000"/>
          <w:kern w:val="0"/>
          <w:szCs w:val="21"/>
        </w:rPr>
        <w:t>填表说明：</w:t>
      </w:r>
      <w:r>
        <w:rPr>
          <w:rFonts w:hint="eastAsia" w:asciiTheme="minorEastAsia" w:hAnsiTheme="minorEastAsia" w:cstheme="minorEastAsia"/>
          <w:color w:val="000000"/>
          <w:kern w:val="0"/>
          <w:szCs w:val="21"/>
        </w:rPr>
        <w:t>1、生产设施、治理设施的名称及编号应与排污单位申领的《排污许可证(副本)》相一致；2、生产设施只填写有污染物产生的生产设施，如XX炉（窑）、XX反应釜、XX生产线（车间）、XX储罐、XX输送带、综合污水处理站等；3、监测的主要生产设备应能直接反映生产设施是否正常运行；4、主要废气污染治理设施包括脱硫、脱硝、低氮燃烧、除尘、有机废气治理、除臭、火炬及其它设施；5、监测的主要治污设备应能直接反映治污设施是否正常运行；6、备用关系是指依据工程设计要求，同类设备“X备X用”；7、排口类型为一般、主要、特殊排放口。</w:t>
      </w:r>
    </w:p>
    <w:p>
      <w:pPr>
        <w:jc w:val="left"/>
      </w:pPr>
      <w:r>
        <w:rPr>
          <w:rFonts w:hint="eastAsia" w:asciiTheme="minorEastAsia" w:hAnsiTheme="minorEastAsia" w:cstheme="minorEastAsia"/>
          <w:b/>
          <w:bCs/>
          <w:color w:val="000000"/>
          <w:kern w:val="0"/>
          <w:szCs w:val="21"/>
        </w:rPr>
        <w:t>注意事项：</w:t>
      </w:r>
      <w:r>
        <w:rPr>
          <w:rFonts w:hint="eastAsia" w:asciiTheme="minorEastAsia" w:hAnsiTheme="minorEastAsia" w:cstheme="minorEastAsia"/>
          <w:color w:val="000000"/>
          <w:kern w:val="0"/>
          <w:szCs w:val="21"/>
        </w:rPr>
        <w:t>1、生产单元、治理单元及排口三者之间必须相互匹配，不得出现错位现象，防止逻辑混乱；2、有生产设施，且有污染物排放，但尚未建治污设施的，治理单元可以不填，但对应排口必须按《排污许可证(副本)》如实填写，不得漏填。</w:t>
      </w:r>
    </w:p>
    <w:p>
      <w:pPr>
        <w:pStyle w:val="115"/>
        <w:numPr>
          <w:ilvl w:val="0"/>
          <w:numId w:val="0"/>
        </w:numPr>
        <w:tabs>
          <w:tab w:val="left" w:pos="360"/>
        </w:tabs>
      </w:pPr>
      <w:bookmarkStart w:id="35" w:name="_Toc5172501"/>
      <w:r>
        <w:rPr>
          <w:rFonts w:hint="eastAsia"/>
        </w:rPr>
        <w:t xml:space="preserve">附录D </w:t>
      </w:r>
      <w:r>
        <w:t xml:space="preserve"> 电气参数编码表</w:t>
      </w:r>
      <w:bookmarkEnd w:id="35"/>
    </w:p>
    <w:tbl>
      <w:tblPr>
        <w:tblStyle w:val="41"/>
        <w:tblW w:w="79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数据项</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A相电流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B相电流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Ib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C相电流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A相电压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B相电压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Ub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C相电压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Uc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总有功功率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P</w:t>
            </w:r>
            <w:r>
              <w:rPr>
                <w:rFonts w:hint="eastAsia" w:cs="Times New Roman" w:asciiTheme="minorEastAsia" w:hAnsiTheme="minorEastAsia" w:eastAsiaTheme="minorEastAsia"/>
                <w:sz w:val="18"/>
                <w:szCs w:val="18"/>
                <w:lang w:eastAsia="zh-CN"/>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B相有功功率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C相有功功率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有功实时需量</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Pdem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A相功率角</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B相功率角</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C相功率角</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 xml:space="preserve">总正向有功电能示值 </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Ept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A相正相有功电能示值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B相正相有功电能示值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Epb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C相正相有功电能示值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第一象限无功电能示值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Eg1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第二象限无功电能示值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Eg2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第三象限无功电能示值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Eg3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第四象限无功电能示值</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Eg4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A相分钟平均有功功率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Pa_ave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B相分钟平均有功功率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Pb_ave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C相分钟平均有功功率</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Pc_ave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A相温度</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Tpa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B相温度</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Tpb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C相温度</w:t>
            </w:r>
          </w:p>
        </w:tc>
        <w:tc>
          <w:tcPr>
            <w:tcW w:w="4253"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Tpc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A相电流</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I</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B</w:t>
            </w:r>
            <w:r>
              <w:rPr>
                <w:rFonts w:hint="eastAsia" w:cs="Times New Roman" w:asciiTheme="minorEastAsia" w:hAnsiTheme="minorEastAsia" w:eastAsiaTheme="minorEastAsia"/>
                <w:sz w:val="18"/>
                <w:szCs w:val="18"/>
                <w:lang w:eastAsia="zh-CN"/>
              </w:rPr>
              <w:t>相电流</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Ib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C</w:t>
            </w:r>
            <w:r>
              <w:rPr>
                <w:rFonts w:hint="eastAsia" w:cs="Times New Roman" w:asciiTheme="minorEastAsia" w:hAnsiTheme="minorEastAsia" w:eastAsiaTheme="minorEastAsia"/>
                <w:sz w:val="18"/>
                <w:szCs w:val="18"/>
                <w:lang w:eastAsia="zh-CN"/>
              </w:rPr>
              <w:t>相电流</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A相电压</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U</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B</w:t>
            </w:r>
            <w:r>
              <w:rPr>
                <w:rFonts w:hint="eastAsia" w:cs="Times New Roman" w:asciiTheme="minorEastAsia" w:hAnsiTheme="minorEastAsia" w:eastAsiaTheme="minorEastAsia"/>
                <w:sz w:val="18"/>
                <w:szCs w:val="18"/>
                <w:lang w:eastAsia="zh-CN"/>
              </w:rPr>
              <w:t>相电压</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U</w:t>
            </w:r>
            <w:r>
              <w:rPr>
                <w:rFonts w:hint="eastAsia" w:asciiTheme="minorEastAsia" w:hAnsiTheme="minorEastAsia"/>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C</w:t>
            </w:r>
            <w:r>
              <w:rPr>
                <w:rFonts w:hint="eastAsia" w:cs="Times New Roman" w:asciiTheme="minorEastAsia" w:hAnsiTheme="minorEastAsia" w:eastAsiaTheme="minorEastAsia"/>
                <w:sz w:val="18"/>
                <w:szCs w:val="18"/>
                <w:lang w:eastAsia="zh-CN"/>
              </w:rPr>
              <w:t>相电压</w:t>
            </w:r>
            <w:r>
              <w:rPr>
                <w:rFonts w:cs="Times New Roman" w:asciiTheme="minorEastAsia" w:hAnsiTheme="minorEastAsia" w:eastAsiaTheme="minorEastAsia"/>
                <w:sz w:val="18"/>
                <w:szCs w:val="18"/>
                <w:lang w:eastAsia="zh-CN"/>
              </w:rPr>
              <w:t>谐波总畸变率</w:t>
            </w:r>
          </w:p>
        </w:tc>
        <w:tc>
          <w:tcPr>
            <w:tcW w:w="4253" w:type="dxa"/>
          </w:tcPr>
          <w:p>
            <w:pPr>
              <w:jc w:val="center"/>
              <w:rPr>
                <w:rFonts w:asciiTheme="minorEastAsia" w:hAnsiTheme="minorEastAsia"/>
                <w:sz w:val="18"/>
                <w:szCs w:val="18"/>
              </w:rPr>
            </w:pPr>
            <w:r>
              <w:rPr>
                <w:rFonts w:asciiTheme="minorEastAsia" w:hAnsiTheme="minorEastAsia"/>
                <w:sz w:val="18"/>
                <w:szCs w:val="18"/>
              </w:rPr>
              <w:t>THD</w:t>
            </w:r>
            <w:r>
              <w:rPr>
                <w:rFonts w:hint="eastAsia" w:asciiTheme="minorEastAsia" w:hAnsiTheme="minorEastAsia"/>
                <w:sz w:val="18"/>
                <w:szCs w:val="18"/>
              </w:rPr>
              <w:t>_</w:t>
            </w:r>
            <w:r>
              <w:rPr>
                <w:rFonts w:asciiTheme="minorEastAsia" w:hAnsiTheme="minorEastAsia"/>
                <w:sz w:val="18"/>
                <w:szCs w:val="18"/>
              </w:rPr>
              <w:t>Uc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A相总谐波电流</w:t>
            </w:r>
          </w:p>
        </w:tc>
        <w:tc>
          <w:tcPr>
            <w:tcW w:w="4253" w:type="dxa"/>
          </w:tcPr>
          <w:p>
            <w:pPr>
              <w:jc w:val="center"/>
              <w:rPr>
                <w:rFonts w:asciiTheme="minorEastAsia" w:hAnsiTheme="minorEastAsia"/>
                <w:sz w:val="18"/>
                <w:szCs w:val="18"/>
              </w:rPr>
            </w:pPr>
            <w:r>
              <w:rPr>
                <w:rFonts w:asciiTheme="minorEastAsia" w:hAnsiTheme="minorEastAsia"/>
                <w:sz w:val="18"/>
                <w:szCs w:val="18"/>
              </w:rPr>
              <w:t>THC</w:t>
            </w:r>
            <w:r>
              <w:rPr>
                <w:rFonts w:hint="eastAsia" w:asciiTheme="minorEastAsia" w:hAnsiTheme="minorEastAsia"/>
                <w:sz w:val="18"/>
                <w:szCs w:val="18"/>
              </w:rPr>
              <w:t>_</w:t>
            </w:r>
            <w:r>
              <w:rPr>
                <w:rFonts w:asciiTheme="minorEastAsia" w:hAnsiTheme="minorEastAsia"/>
                <w:sz w:val="18"/>
                <w:szCs w:val="18"/>
              </w:rPr>
              <w:t>I</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B</w:t>
            </w:r>
            <w:r>
              <w:rPr>
                <w:rFonts w:hint="eastAsia" w:cs="Times New Roman" w:asciiTheme="minorEastAsia" w:hAnsiTheme="minorEastAsia" w:eastAsiaTheme="minorEastAsia"/>
                <w:sz w:val="18"/>
                <w:szCs w:val="18"/>
                <w:lang w:eastAsia="zh-CN"/>
              </w:rPr>
              <w:t>相总谐波电流</w:t>
            </w:r>
          </w:p>
        </w:tc>
        <w:tc>
          <w:tcPr>
            <w:tcW w:w="4253" w:type="dxa"/>
          </w:tcPr>
          <w:p>
            <w:pPr>
              <w:jc w:val="center"/>
              <w:rPr>
                <w:rFonts w:asciiTheme="minorEastAsia" w:hAnsiTheme="minorEastAsia"/>
                <w:sz w:val="18"/>
                <w:szCs w:val="18"/>
              </w:rPr>
            </w:pPr>
            <w:r>
              <w:rPr>
                <w:rFonts w:asciiTheme="minorEastAsia" w:hAnsiTheme="minorEastAsia"/>
                <w:sz w:val="18"/>
                <w:szCs w:val="18"/>
              </w:rPr>
              <w:t>THC</w:t>
            </w:r>
            <w:r>
              <w:rPr>
                <w:rFonts w:hint="eastAsia" w:asciiTheme="minorEastAsia" w:hAnsiTheme="minorEastAsia"/>
                <w:sz w:val="18"/>
                <w:szCs w:val="18"/>
              </w:rPr>
              <w:t>_</w:t>
            </w:r>
            <w:r>
              <w:rPr>
                <w:rFonts w:asciiTheme="minorEastAsia" w:hAnsiTheme="minorEastAsia"/>
                <w:sz w:val="18"/>
                <w:szCs w:val="18"/>
              </w:rPr>
              <w:t>I</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C</w:t>
            </w:r>
            <w:r>
              <w:rPr>
                <w:rFonts w:hint="eastAsia" w:cs="Times New Roman" w:asciiTheme="minorEastAsia" w:hAnsiTheme="minorEastAsia" w:eastAsiaTheme="minorEastAsia"/>
                <w:sz w:val="18"/>
                <w:szCs w:val="18"/>
                <w:lang w:eastAsia="zh-CN"/>
              </w:rPr>
              <w:t>相总谐波电流</w:t>
            </w:r>
          </w:p>
        </w:tc>
        <w:tc>
          <w:tcPr>
            <w:tcW w:w="4253" w:type="dxa"/>
          </w:tcPr>
          <w:p>
            <w:pPr>
              <w:jc w:val="center"/>
              <w:rPr>
                <w:rFonts w:asciiTheme="minorEastAsia" w:hAnsiTheme="minorEastAsia"/>
                <w:sz w:val="18"/>
                <w:szCs w:val="18"/>
              </w:rPr>
            </w:pPr>
            <w:r>
              <w:rPr>
                <w:rFonts w:asciiTheme="minorEastAsia" w:hAnsiTheme="minorEastAsia"/>
                <w:sz w:val="18"/>
                <w:szCs w:val="18"/>
              </w:rPr>
              <w:t>THC</w:t>
            </w:r>
            <w:r>
              <w:rPr>
                <w:rFonts w:hint="eastAsia" w:asciiTheme="minorEastAsia" w:hAnsiTheme="minorEastAsia"/>
                <w:sz w:val="18"/>
                <w:szCs w:val="18"/>
              </w:rPr>
              <w:t>_</w:t>
            </w:r>
            <w:r>
              <w:rPr>
                <w:rFonts w:asciiTheme="minorEastAsia" w:hAnsiTheme="minorEastAsia"/>
                <w:sz w:val="18"/>
                <w:szCs w:val="18"/>
              </w:rPr>
              <w:t>I</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A相总谐波电压</w:t>
            </w:r>
          </w:p>
        </w:tc>
        <w:tc>
          <w:tcPr>
            <w:tcW w:w="4253" w:type="dxa"/>
          </w:tcPr>
          <w:p>
            <w:pPr>
              <w:jc w:val="center"/>
              <w:rPr>
                <w:rFonts w:asciiTheme="minorEastAsia" w:hAnsiTheme="minorEastAsia"/>
                <w:sz w:val="18"/>
                <w:szCs w:val="18"/>
              </w:rPr>
            </w:pPr>
            <w:r>
              <w:rPr>
                <w:rFonts w:asciiTheme="minorEastAsia" w:hAnsiTheme="minorEastAsia"/>
                <w:sz w:val="18"/>
                <w:szCs w:val="18"/>
              </w:rPr>
              <w:t>THV</w:t>
            </w:r>
            <w:r>
              <w:rPr>
                <w:rFonts w:hint="eastAsia" w:asciiTheme="minorEastAsia" w:hAnsiTheme="minorEastAsia"/>
                <w:sz w:val="18"/>
                <w:szCs w:val="18"/>
              </w:rPr>
              <w:t>_</w:t>
            </w:r>
            <w:r>
              <w:rPr>
                <w:rFonts w:asciiTheme="minorEastAsia" w:hAnsiTheme="minorEastAsia"/>
                <w:sz w:val="18"/>
                <w:szCs w:val="18"/>
              </w:rPr>
              <w:t>U</w:t>
            </w:r>
            <w:r>
              <w:rPr>
                <w:rFonts w:hint="eastAsia" w:asciiTheme="minorEastAsia" w:hAnsiTheme="minorEastAsia"/>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B</w:t>
            </w:r>
            <w:r>
              <w:rPr>
                <w:rFonts w:hint="eastAsia" w:cs="Times New Roman" w:asciiTheme="minorEastAsia" w:hAnsiTheme="minorEastAsia" w:eastAsiaTheme="minorEastAsia"/>
                <w:sz w:val="18"/>
                <w:szCs w:val="18"/>
                <w:lang w:eastAsia="zh-CN"/>
              </w:rPr>
              <w:t>相总谐波电压</w:t>
            </w:r>
          </w:p>
        </w:tc>
        <w:tc>
          <w:tcPr>
            <w:tcW w:w="4253" w:type="dxa"/>
          </w:tcPr>
          <w:p>
            <w:pPr>
              <w:jc w:val="center"/>
              <w:rPr>
                <w:rFonts w:asciiTheme="minorEastAsia" w:hAnsiTheme="minorEastAsia"/>
                <w:sz w:val="18"/>
                <w:szCs w:val="18"/>
              </w:rPr>
            </w:pPr>
            <w:r>
              <w:rPr>
                <w:rFonts w:asciiTheme="minorEastAsia" w:hAnsiTheme="minorEastAsia"/>
                <w:sz w:val="18"/>
                <w:szCs w:val="18"/>
              </w:rPr>
              <w:t>THV</w:t>
            </w:r>
            <w:r>
              <w:rPr>
                <w:rFonts w:hint="eastAsia" w:asciiTheme="minorEastAsia" w:hAnsiTheme="minorEastAsia"/>
                <w:sz w:val="18"/>
                <w:szCs w:val="18"/>
              </w:rPr>
              <w:t>_</w:t>
            </w:r>
            <w:r>
              <w:rPr>
                <w:rFonts w:asciiTheme="minorEastAsia" w:hAnsiTheme="minorEastAsia"/>
                <w:sz w:val="18"/>
                <w:szCs w:val="18"/>
              </w:rPr>
              <w:t>Ub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cs="Times New Roman" w:asciiTheme="minorEastAsia" w:hAnsiTheme="minorEastAsia" w:eastAsiaTheme="minorEastAsia"/>
                <w:sz w:val="18"/>
                <w:szCs w:val="18"/>
                <w:lang w:eastAsia="zh-CN"/>
              </w:rPr>
              <w:t>C</w:t>
            </w:r>
            <w:r>
              <w:rPr>
                <w:rFonts w:hint="eastAsia" w:cs="Times New Roman" w:asciiTheme="minorEastAsia" w:hAnsiTheme="minorEastAsia" w:eastAsiaTheme="minorEastAsia"/>
                <w:sz w:val="18"/>
                <w:szCs w:val="18"/>
                <w:lang w:eastAsia="zh-CN"/>
              </w:rPr>
              <w:t>相总谐波电压</w:t>
            </w:r>
          </w:p>
        </w:tc>
        <w:tc>
          <w:tcPr>
            <w:tcW w:w="4253" w:type="dxa"/>
          </w:tcPr>
          <w:p>
            <w:pPr>
              <w:jc w:val="center"/>
              <w:rPr>
                <w:rFonts w:asciiTheme="minorEastAsia" w:hAnsiTheme="minorEastAsia"/>
                <w:sz w:val="18"/>
                <w:szCs w:val="18"/>
              </w:rPr>
            </w:pPr>
            <w:r>
              <w:rPr>
                <w:rFonts w:asciiTheme="minorEastAsia" w:hAnsiTheme="minorEastAsia"/>
                <w:sz w:val="18"/>
                <w:szCs w:val="18"/>
              </w:rPr>
              <w:t>THV</w:t>
            </w:r>
            <w:r>
              <w:rPr>
                <w:rFonts w:hint="eastAsia" w:asciiTheme="minorEastAsia" w:hAnsiTheme="minorEastAsia"/>
                <w:sz w:val="18"/>
                <w:szCs w:val="18"/>
              </w:rPr>
              <w:t>_</w:t>
            </w:r>
            <w:r>
              <w:rPr>
                <w:rFonts w:asciiTheme="minorEastAsia" w:hAnsiTheme="minorEastAsia"/>
                <w:sz w:val="18"/>
                <w:szCs w:val="18"/>
              </w:rPr>
              <w:t>Uc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52" w:type="dxa"/>
          </w:tcPr>
          <w:p>
            <w:pPr>
              <w:pStyle w:val="183"/>
              <w:spacing w:before="10" w:line="300" w:lineRule="auto"/>
              <w:jc w:val="center"/>
              <w:rPr>
                <w:rFonts w:cs="Times New Roman" w:asciiTheme="minorEastAsia" w:hAnsiTheme="minorEastAsia" w:eastAsiaTheme="minorEastAsia"/>
                <w:sz w:val="18"/>
                <w:szCs w:val="18"/>
                <w:lang w:eastAsia="zh-CN"/>
              </w:rPr>
            </w:pPr>
            <w:r>
              <w:rPr>
                <w:rFonts w:hint="eastAsia" w:cs="Times New Roman" w:asciiTheme="minorEastAsia" w:hAnsiTheme="minorEastAsia" w:eastAsiaTheme="minorEastAsia"/>
                <w:sz w:val="18"/>
                <w:szCs w:val="18"/>
                <w:lang w:eastAsia="zh-CN"/>
              </w:rPr>
              <w:t>设备运行状态</w:t>
            </w:r>
          </w:p>
        </w:tc>
        <w:tc>
          <w:tcPr>
            <w:tcW w:w="4253" w:type="dxa"/>
          </w:tcPr>
          <w:p>
            <w:pPr>
              <w:jc w:val="center"/>
              <w:rPr>
                <w:rFonts w:cs="Times New Roman" w:asciiTheme="minorEastAsia" w:hAnsiTheme="minorEastAsia"/>
                <w:kern w:val="0"/>
                <w:sz w:val="18"/>
                <w:szCs w:val="18"/>
              </w:rPr>
            </w:pPr>
            <w:r>
              <w:rPr>
                <w:rFonts w:hint="eastAsia" w:cs="Times New Roman" w:asciiTheme="minorEastAsia" w:hAnsiTheme="minorEastAsia"/>
                <w:kern w:val="0"/>
                <w:sz w:val="18"/>
                <w:szCs w:val="18"/>
              </w:rPr>
              <w:t>RS</w:t>
            </w:r>
          </w:p>
        </w:tc>
      </w:tr>
    </w:tbl>
    <w:p>
      <w:pPr>
        <w:pStyle w:val="184"/>
        <w:spacing w:line="300" w:lineRule="auto"/>
        <w:ind w:firstLine="2741" w:firstLineChars="1300"/>
        <w:rPr>
          <w:b/>
          <w:szCs w:val="21"/>
        </w:rPr>
      </w:pPr>
      <w:r>
        <w:rPr>
          <w:b/>
          <w:szCs w:val="21"/>
        </w:rPr>
        <w:br w:type="page"/>
      </w:r>
    </w:p>
    <w:p>
      <w:pPr>
        <w:pStyle w:val="115"/>
        <w:numPr>
          <w:ilvl w:val="0"/>
          <w:numId w:val="0"/>
        </w:numPr>
        <w:tabs>
          <w:tab w:val="left" w:pos="360"/>
        </w:tabs>
      </w:pPr>
      <w:bookmarkStart w:id="36" w:name="_Toc5172502"/>
      <w:r>
        <w:rPr>
          <w:rFonts w:hint="eastAsia"/>
        </w:rPr>
        <w:t>附录E</w:t>
      </w:r>
      <w:r>
        <w:t xml:space="preserve"> </w:t>
      </w:r>
      <w:r>
        <w:rPr>
          <w:rFonts w:hint="eastAsia"/>
        </w:rPr>
        <w:t xml:space="preserve"> </w:t>
      </w:r>
      <w:r>
        <w:t>通讯命令、拆分包及应答机制示例</w:t>
      </w:r>
      <w:bookmarkEnd w:id="36"/>
    </w:p>
    <w:p>
      <w:pPr>
        <w:pStyle w:val="118"/>
        <w:numPr>
          <w:ilvl w:val="0"/>
          <w:numId w:val="0"/>
        </w:numPr>
        <w:tabs>
          <w:tab w:val="left" w:pos="180"/>
        </w:tabs>
        <w:spacing w:before="156" w:after="156"/>
      </w:pPr>
      <w:r>
        <w:rPr>
          <w:rFonts w:hint="eastAsia"/>
        </w:rPr>
        <w:t>表1</w:t>
      </w:r>
      <w:r>
        <w:t xml:space="preserve"> 上传治理设施的</w:t>
      </w:r>
      <w:r>
        <w:rPr>
          <w:rFonts w:hint="eastAsia"/>
        </w:rPr>
        <w:t>用电</w:t>
      </w:r>
      <w:r>
        <w:t>监测分钟数据</w:t>
      </w:r>
    </w:p>
    <w:tbl>
      <w:tblPr>
        <w:tblStyle w:val="41"/>
        <w:tblW w:w="9570" w:type="dxa"/>
        <w:tblInd w:w="103" w:type="dxa"/>
        <w:tblLayout w:type="fixed"/>
        <w:tblCellMar>
          <w:top w:w="0" w:type="dxa"/>
          <w:left w:w="108" w:type="dxa"/>
          <w:bottom w:w="0" w:type="dxa"/>
          <w:right w:w="108" w:type="dxa"/>
        </w:tblCellMar>
      </w:tblPr>
      <w:tblGrid>
        <w:gridCol w:w="758"/>
        <w:gridCol w:w="863"/>
        <w:gridCol w:w="1016"/>
        <w:gridCol w:w="6933"/>
      </w:tblGrid>
      <w:tr>
        <w:tblPrEx>
          <w:tblLayout w:type="fixed"/>
          <w:tblCellMar>
            <w:top w:w="0" w:type="dxa"/>
            <w:left w:w="108" w:type="dxa"/>
            <w:bottom w:w="0" w:type="dxa"/>
            <w:right w:w="108" w:type="dxa"/>
          </w:tblCellMar>
        </w:tblPrEx>
        <w:tc>
          <w:tcPr>
            <w:tcW w:w="758"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类别</w:t>
            </w:r>
          </w:p>
        </w:tc>
        <w:tc>
          <w:tcPr>
            <w:tcW w:w="1879"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项目</w:t>
            </w:r>
          </w:p>
        </w:tc>
        <w:tc>
          <w:tcPr>
            <w:tcW w:w="6933" w:type="dxa"/>
            <w:tcBorders>
              <w:top w:val="single" w:color="000000" w:sz="4" w:space="0"/>
              <w:left w:val="single" w:color="000000" w:sz="4" w:space="0"/>
              <w:bottom w:val="single" w:color="000000" w:sz="4" w:space="0"/>
              <w:right w:val="single" w:color="000000" w:sz="4" w:space="0"/>
            </w:tcBorders>
            <w:vAlign w:val="center"/>
          </w:tcPr>
          <w:p>
            <w:pPr>
              <w:pStyle w:val="184"/>
              <w:adjustRightInd w:val="0"/>
              <w:snapToGrid w:val="0"/>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实例/说明</w:t>
            </w:r>
          </w:p>
        </w:tc>
      </w:tr>
      <w:tr>
        <w:tblPrEx>
          <w:tblLayout w:type="fixed"/>
          <w:tblCellMar>
            <w:top w:w="0" w:type="dxa"/>
            <w:left w:w="108" w:type="dxa"/>
            <w:bottom w:w="0" w:type="dxa"/>
            <w:right w:w="108" w:type="dxa"/>
          </w:tblCellMar>
        </w:tblPrEx>
        <w:tc>
          <w:tcPr>
            <w:tcW w:w="758" w:type="dxa"/>
            <w:vMerge w:val="restart"/>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使用命令</w:t>
            </w:r>
          </w:p>
        </w:tc>
        <w:tc>
          <w:tcPr>
            <w:tcW w:w="863"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现场机</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上传监测分钟数据</w:t>
            </w:r>
          </w:p>
        </w:tc>
        <w:tc>
          <w:tcPr>
            <w:tcW w:w="6933" w:type="dxa"/>
            <w:tcBorders>
              <w:top w:val="single" w:color="000000" w:sz="4" w:space="0"/>
              <w:left w:val="single" w:color="000000" w:sz="4" w:space="0"/>
              <w:bottom w:val="single" w:color="000000" w:sz="4" w:space="0"/>
              <w:right w:val="single" w:color="000000" w:sz="4" w:space="0"/>
            </w:tcBorders>
          </w:tcPr>
          <w:p>
            <w:pPr>
              <w:pStyle w:val="184"/>
              <w:adjustRightInd w:val="0"/>
              <w:snapToGrid w:val="0"/>
              <w:ind w:firstLine="0" w:firstLineChars="0"/>
              <w:jc w:val="left"/>
              <w:rPr>
                <w:rFonts w:asciiTheme="minorEastAsia" w:hAnsiTheme="minorEastAsia" w:eastAsiaTheme="minorEastAsia"/>
                <w:szCs w:val="18"/>
              </w:rPr>
            </w:pPr>
            <w:r>
              <w:rPr>
                <w:rFonts w:asciiTheme="minorEastAsia" w:hAnsiTheme="minorEastAsia" w:eastAsiaTheme="minorEastAsia"/>
                <w:szCs w:val="18"/>
              </w:rPr>
              <w:t>QN=20180914131547043;ST=80;CN=2011;PW=123456;MN=010000A8900016F000169DC0;Flag=5;CP=&amp;&amp;DataTime=20180914131500;t10001-Ia=1.488,t10001-Ib=1.496,t10001-Ic=0.000,t10001-Io=0.000,t10001-P=0.4762,t10001-Q=0.0016,t10001-Pv=1.0500,t10001-Qv=0.0000,t10001-The=0.9999,t10001-Ua=99.6,t10001-Ub=219.3,t10001-Uc=0.0,t10001-RS=1,t10001-Flag=N&amp;&amp;</w:t>
            </w:r>
          </w:p>
        </w:tc>
      </w:tr>
      <w:tr>
        <w:tblPrEx>
          <w:tblLayout w:type="fixed"/>
          <w:tblCellMar>
            <w:top w:w="0" w:type="dxa"/>
            <w:left w:w="108" w:type="dxa"/>
            <w:bottom w:w="0" w:type="dxa"/>
            <w:right w:w="108" w:type="dxa"/>
          </w:tblCellMar>
        </w:tblPrEx>
        <w:tc>
          <w:tcPr>
            <w:tcW w:w="7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rPr>
            </w:pPr>
          </w:p>
        </w:tc>
        <w:tc>
          <w:tcPr>
            <w:tcW w:w="863"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上位机</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返回数据应答</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QN=20180914131547043;ST=91;CN=9014;PW=123456;MN=010000A8900016F000169DC0;Flag=4;CP=&amp;&amp;&amp;&amp;</w:t>
            </w:r>
          </w:p>
        </w:tc>
      </w:tr>
      <w:tr>
        <w:tblPrEx>
          <w:tblLayout w:type="fixed"/>
          <w:tblCellMar>
            <w:top w:w="0" w:type="dxa"/>
            <w:left w:w="108" w:type="dxa"/>
            <w:bottom w:w="0" w:type="dxa"/>
            <w:right w:w="108" w:type="dxa"/>
          </w:tblCellMar>
        </w:tblPrEx>
        <w:tc>
          <w:tcPr>
            <w:tcW w:w="758" w:type="dxa"/>
            <w:vMerge w:val="restart"/>
            <w:tcBorders>
              <w:top w:val="single" w:color="000000" w:sz="4" w:space="0"/>
              <w:left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使用字段</w:t>
            </w:r>
          </w:p>
        </w:tc>
        <w:tc>
          <w:tcPr>
            <w:tcW w:w="1879"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DataTime</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数据时间</w:t>
            </w:r>
            <w:r>
              <w:rPr>
                <w:rFonts w:hint="eastAsia" w:ascii="宋体" w:hAnsi="宋体" w:cs="宋体"/>
                <w:szCs w:val="18"/>
              </w:rPr>
              <w:t>，</w:t>
            </w:r>
            <w:r>
              <w:rPr>
                <w:rFonts w:hint="eastAsia" w:ascii="宋体" w:hAnsi="宋体" w:cs="宋体"/>
                <w:color w:val="000000"/>
                <w:szCs w:val="18"/>
              </w:rPr>
              <w:t>表示一个时间点，时间精确到秒；</w:t>
            </w:r>
            <w:r>
              <w:rPr>
                <w:rFonts w:asciiTheme="minorEastAsia" w:hAnsiTheme="minorEastAsia" w:eastAsiaTheme="minorEastAsia"/>
                <w:szCs w:val="18"/>
              </w:rPr>
              <w:t>20180914131547</w:t>
            </w:r>
            <w:r>
              <w:rPr>
                <w:rFonts w:hint="eastAsia" w:ascii="宋体" w:hAnsi="宋体" w:cs="宋体"/>
                <w:color w:val="000000"/>
                <w:szCs w:val="18"/>
              </w:rPr>
              <w:t xml:space="preserve"> 表示上传数据</w:t>
            </w:r>
            <w:r>
              <w:rPr>
                <w:rFonts w:hint="eastAsia" w:ascii="宋体" w:hAnsi="宋体" w:cs="宋体"/>
                <w:color w:val="000000"/>
                <w:szCs w:val="18"/>
              </w:rPr>
              <w:br w:type="textWrapping"/>
            </w:r>
            <w:r>
              <w:rPr>
                <w:rFonts w:hint="eastAsia" w:ascii="宋体" w:hAnsi="宋体" w:cs="宋体"/>
                <w:color w:val="000000"/>
                <w:szCs w:val="18"/>
              </w:rPr>
              <w:t>为 2018 年 9 月 14 日 13 时 15 分 47 秒的实时数据</w:t>
            </w:r>
          </w:p>
        </w:tc>
      </w:tr>
      <w:tr>
        <w:tblPrEx>
          <w:tblLayout w:type="fixed"/>
          <w:tblCellMar>
            <w:top w:w="0" w:type="dxa"/>
            <w:left w:w="108" w:type="dxa"/>
            <w:bottom w:w="0" w:type="dxa"/>
            <w:right w:w="108" w:type="dxa"/>
          </w:tblCellMar>
        </w:tblPrEx>
        <w:tc>
          <w:tcPr>
            <w:tcW w:w="758" w:type="dxa"/>
            <w:vMerge w:val="continue"/>
            <w:tcBorders>
              <w:left w:val="single" w:color="000000" w:sz="4" w:space="0"/>
              <w:right w:val="single" w:color="000000" w:sz="4" w:space="0"/>
            </w:tcBorders>
            <w:vAlign w:val="center"/>
          </w:tcPr>
          <w:p>
            <w:pPr>
              <w:widowControl/>
              <w:jc w:val="left"/>
              <w:rPr>
                <w:rFonts w:asciiTheme="minorEastAsia" w:hAnsiTheme="minorEastAsia"/>
              </w:rPr>
            </w:pPr>
          </w:p>
        </w:tc>
        <w:tc>
          <w:tcPr>
            <w:tcW w:w="1879"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t100</w:t>
            </w:r>
            <w:r>
              <w:rPr>
                <w:rFonts w:hint="eastAsia" w:asciiTheme="minorEastAsia" w:hAnsiTheme="minorEastAsia" w:eastAsiaTheme="minorEastAsia"/>
                <w:szCs w:val="18"/>
              </w:rPr>
              <w:t>01</w:t>
            </w:r>
            <w:r>
              <w:rPr>
                <w:rFonts w:asciiTheme="minorEastAsia" w:hAnsiTheme="minorEastAsia" w:eastAsiaTheme="minorEastAsia"/>
                <w:szCs w:val="18"/>
              </w:rPr>
              <w:t>-xx</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Theme="minorEastAsia" w:hAnsiTheme="minorEastAsia" w:eastAsiaTheme="minorEastAsia"/>
                <w:szCs w:val="18"/>
              </w:rPr>
            </w:pPr>
            <w:r>
              <w:rPr>
                <w:rFonts w:hint="eastAsia" w:ascii="宋体" w:hAnsi="宋体" w:cs="宋体"/>
                <w:szCs w:val="18"/>
              </w:rPr>
              <w:t>表述污染物</w:t>
            </w:r>
            <w:r>
              <w:rPr>
                <w:rFonts w:asciiTheme="minorEastAsia" w:hAnsiTheme="minorEastAsia" w:eastAsiaTheme="minorEastAsia"/>
                <w:szCs w:val="18"/>
              </w:rPr>
              <w:t>t100</w:t>
            </w:r>
            <w:r>
              <w:rPr>
                <w:rFonts w:hint="eastAsia" w:asciiTheme="minorEastAsia" w:hAnsiTheme="minorEastAsia" w:eastAsiaTheme="minorEastAsia"/>
                <w:szCs w:val="18"/>
              </w:rPr>
              <w:t>01</w:t>
            </w:r>
            <w:r>
              <w:rPr>
                <w:rFonts w:hint="eastAsia" w:ascii="宋体" w:hAnsi="宋体" w:cs="宋体"/>
                <w:szCs w:val="18"/>
              </w:rPr>
              <w:t>的实时数据</w:t>
            </w:r>
          </w:p>
        </w:tc>
      </w:tr>
      <w:tr>
        <w:tblPrEx>
          <w:tblLayout w:type="fixed"/>
          <w:tblCellMar>
            <w:top w:w="0" w:type="dxa"/>
            <w:left w:w="108" w:type="dxa"/>
            <w:bottom w:w="0" w:type="dxa"/>
            <w:right w:w="108" w:type="dxa"/>
          </w:tblCellMar>
        </w:tblPrEx>
        <w:tc>
          <w:tcPr>
            <w:tcW w:w="758" w:type="dxa"/>
            <w:vMerge w:val="continue"/>
            <w:tcBorders>
              <w:left w:val="single" w:color="000000" w:sz="4" w:space="0"/>
              <w:right w:val="single" w:color="000000" w:sz="4" w:space="0"/>
            </w:tcBorders>
            <w:vAlign w:val="center"/>
          </w:tcPr>
          <w:p>
            <w:pPr>
              <w:widowControl/>
              <w:jc w:val="left"/>
              <w:rPr>
                <w:rFonts w:asciiTheme="minorEastAsia" w:hAnsiTheme="minorEastAsia"/>
              </w:rPr>
            </w:pPr>
          </w:p>
        </w:tc>
        <w:tc>
          <w:tcPr>
            <w:tcW w:w="1879"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t10001-RS</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宋体" w:hAnsi="宋体" w:cs="宋体"/>
                <w:szCs w:val="18"/>
              </w:rPr>
            </w:pPr>
            <w:r>
              <w:rPr>
                <w:rFonts w:hint="eastAsia" w:ascii="宋体" w:hAnsi="宋体" w:cs="宋体"/>
                <w:szCs w:val="18"/>
              </w:rPr>
              <w:t>表述污染物</w:t>
            </w:r>
            <w:r>
              <w:rPr>
                <w:rFonts w:asciiTheme="minorEastAsia" w:hAnsiTheme="minorEastAsia" w:eastAsiaTheme="minorEastAsia"/>
                <w:szCs w:val="18"/>
              </w:rPr>
              <w:t>t100</w:t>
            </w:r>
            <w:r>
              <w:rPr>
                <w:rFonts w:hint="eastAsia" w:asciiTheme="minorEastAsia" w:hAnsiTheme="minorEastAsia" w:eastAsiaTheme="minorEastAsia"/>
                <w:szCs w:val="18"/>
              </w:rPr>
              <w:t>01</w:t>
            </w:r>
            <w:r>
              <w:rPr>
                <w:rFonts w:hint="eastAsia" w:ascii="宋体" w:hAnsi="宋体" w:cs="宋体"/>
                <w:szCs w:val="18"/>
              </w:rPr>
              <w:t>的运行状态，</w:t>
            </w:r>
            <w:r>
              <w:rPr>
                <w:rFonts w:hint="eastAsia" w:asciiTheme="minorEastAsia" w:hAnsiTheme="minorEastAsia" w:eastAsiaTheme="minorEastAsia"/>
                <w:szCs w:val="18"/>
              </w:rPr>
              <w:t>值为1表示运行。</w:t>
            </w:r>
          </w:p>
        </w:tc>
      </w:tr>
      <w:tr>
        <w:tblPrEx>
          <w:tblLayout w:type="fixed"/>
          <w:tblCellMar>
            <w:top w:w="0" w:type="dxa"/>
            <w:left w:w="108" w:type="dxa"/>
            <w:bottom w:w="0" w:type="dxa"/>
            <w:right w:w="108" w:type="dxa"/>
          </w:tblCellMar>
        </w:tblPrEx>
        <w:tc>
          <w:tcPr>
            <w:tcW w:w="758" w:type="dxa"/>
            <w:vMerge w:val="continue"/>
            <w:tcBorders>
              <w:left w:val="single" w:color="000000" w:sz="4" w:space="0"/>
              <w:bottom w:val="single" w:color="000000" w:sz="4" w:space="0"/>
              <w:right w:val="single" w:color="000000" w:sz="4" w:space="0"/>
            </w:tcBorders>
            <w:vAlign w:val="center"/>
          </w:tcPr>
          <w:p>
            <w:pPr>
              <w:widowControl/>
              <w:jc w:val="left"/>
              <w:rPr>
                <w:rFonts w:asciiTheme="minorEastAsia" w:hAnsiTheme="minorEastAsia"/>
              </w:rPr>
            </w:pPr>
          </w:p>
        </w:tc>
        <w:tc>
          <w:tcPr>
            <w:tcW w:w="1879"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t10001-Flag</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宋体" w:hAnsi="宋体" w:cs="宋体"/>
                <w:szCs w:val="18"/>
              </w:rPr>
            </w:pPr>
            <w:r>
              <w:rPr>
                <w:rFonts w:hint="eastAsia" w:ascii="宋体" w:hAnsi="宋体" w:cs="宋体"/>
                <w:szCs w:val="18"/>
              </w:rPr>
              <w:t>表述污染物</w:t>
            </w:r>
            <w:r>
              <w:rPr>
                <w:rFonts w:asciiTheme="minorEastAsia" w:hAnsiTheme="minorEastAsia" w:eastAsiaTheme="minorEastAsia"/>
                <w:szCs w:val="18"/>
              </w:rPr>
              <w:t>t100</w:t>
            </w:r>
            <w:r>
              <w:rPr>
                <w:rFonts w:hint="eastAsia" w:asciiTheme="minorEastAsia" w:hAnsiTheme="minorEastAsia" w:eastAsiaTheme="minorEastAsia"/>
                <w:szCs w:val="18"/>
              </w:rPr>
              <w:t>01的实时数据标识，值为N表示工作正常。</w:t>
            </w:r>
          </w:p>
        </w:tc>
      </w:tr>
      <w:tr>
        <w:tblPrEx>
          <w:tblLayout w:type="fixed"/>
          <w:tblCellMar>
            <w:top w:w="0" w:type="dxa"/>
            <w:left w:w="108" w:type="dxa"/>
            <w:bottom w:w="0" w:type="dxa"/>
            <w:right w:w="108" w:type="dxa"/>
          </w:tblCellMar>
        </w:tblPrEx>
        <w:tc>
          <w:tcPr>
            <w:tcW w:w="758"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执行过程</w:t>
            </w:r>
          </w:p>
        </w:tc>
        <w:tc>
          <w:tcPr>
            <w:tcW w:w="8812" w:type="dxa"/>
            <w:gridSpan w:val="3"/>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1、现场机以</w:t>
            </w:r>
            <w:r>
              <w:rPr>
                <w:rFonts w:hint="eastAsia" w:asciiTheme="minorEastAsia" w:hAnsiTheme="minorEastAsia" w:eastAsiaTheme="minorEastAsia"/>
                <w:szCs w:val="18"/>
              </w:rPr>
              <w:t>上传实时数据间隔（15分钟）为周期</w:t>
            </w:r>
            <w:r>
              <w:rPr>
                <w:rFonts w:asciiTheme="minorEastAsia" w:hAnsiTheme="minorEastAsia" w:eastAsiaTheme="minorEastAsia"/>
                <w:szCs w:val="18"/>
              </w:rPr>
              <w:t>发送“上传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w:t>
            </w:r>
            <w:r>
              <w:rPr>
                <w:rFonts w:hint="eastAsia" w:asciiTheme="minorEastAsia" w:hAnsiTheme="minorEastAsia" w:eastAsiaTheme="minorEastAsia"/>
                <w:szCs w:val="18"/>
              </w:rPr>
              <w:t>;</w:t>
            </w:r>
          </w:p>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2、上位机接收“上传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监测分钟数据”命令并执行，根据标志Flag的值决定是否返回“数据应答”</w:t>
            </w:r>
            <w:r>
              <w:rPr>
                <w:rFonts w:hint="eastAsia" w:asciiTheme="minorEastAsia" w:hAnsiTheme="minorEastAsia" w:eastAsiaTheme="minorEastAsia"/>
                <w:szCs w:val="18"/>
              </w:rPr>
              <w:t>;</w:t>
            </w:r>
          </w:p>
          <w:p>
            <w:pPr>
              <w:pStyle w:val="184"/>
              <w:ind w:firstLine="0" w:firstLineChars="0"/>
              <w:jc w:val="left"/>
              <w:rPr>
                <w:rFonts w:asciiTheme="minorEastAsia" w:hAnsiTheme="minorEastAsia" w:eastAsiaTheme="minorEastAsia"/>
                <w:szCs w:val="18"/>
              </w:rPr>
            </w:pPr>
            <w:r>
              <w:rPr>
                <w:rFonts w:hint="eastAsia" w:asciiTheme="minorEastAsia" w:hAnsiTheme="minorEastAsia" w:eastAsiaTheme="minorEastAsia"/>
                <w:szCs w:val="18"/>
              </w:rPr>
              <w:t>3、</w:t>
            </w:r>
            <w:r>
              <w:rPr>
                <w:rFonts w:asciiTheme="minorEastAsia" w:hAnsiTheme="minorEastAsia" w:eastAsiaTheme="minorEastAsia"/>
                <w:szCs w:val="18"/>
              </w:rPr>
              <w:t>如果“上传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监测分钟数据”命令需要数据应答，现场机接收“数据应答”，请求执行完毕</w:t>
            </w:r>
            <w:r>
              <w:rPr>
                <w:rFonts w:hint="eastAsia" w:asciiTheme="minorEastAsia" w:hAnsiTheme="minorEastAsia" w:eastAsiaTheme="minorEastAsia"/>
                <w:szCs w:val="18"/>
              </w:rPr>
              <w:t>。</w:t>
            </w:r>
          </w:p>
        </w:tc>
      </w:tr>
    </w:tbl>
    <w:p>
      <w:pPr>
        <w:pStyle w:val="118"/>
        <w:numPr>
          <w:ilvl w:val="0"/>
          <w:numId w:val="0"/>
        </w:numPr>
        <w:tabs>
          <w:tab w:val="left" w:pos="180"/>
        </w:tabs>
        <w:spacing w:before="156" w:after="156"/>
      </w:pPr>
      <w:r>
        <w:rPr>
          <w:rFonts w:hint="eastAsia"/>
        </w:rPr>
        <w:t>表2</w:t>
      </w:r>
      <w:r>
        <w:t xml:space="preserve"> 上传生产设施的</w:t>
      </w:r>
      <w:r>
        <w:rPr>
          <w:rFonts w:hint="eastAsia"/>
        </w:rPr>
        <w:t>用电</w:t>
      </w:r>
      <w:r>
        <w:t>监测分钟数据</w:t>
      </w:r>
    </w:p>
    <w:tbl>
      <w:tblPr>
        <w:tblStyle w:val="41"/>
        <w:tblW w:w="9570" w:type="dxa"/>
        <w:tblInd w:w="103" w:type="dxa"/>
        <w:tblLayout w:type="fixed"/>
        <w:tblCellMar>
          <w:top w:w="0" w:type="dxa"/>
          <w:left w:w="108" w:type="dxa"/>
          <w:bottom w:w="0" w:type="dxa"/>
          <w:right w:w="108" w:type="dxa"/>
        </w:tblCellMar>
      </w:tblPr>
      <w:tblGrid>
        <w:gridCol w:w="784"/>
        <w:gridCol w:w="837"/>
        <w:gridCol w:w="1016"/>
        <w:gridCol w:w="6933"/>
      </w:tblGrid>
      <w:tr>
        <w:tblPrEx>
          <w:tblLayout w:type="fixed"/>
          <w:tblCellMar>
            <w:top w:w="0" w:type="dxa"/>
            <w:left w:w="108" w:type="dxa"/>
            <w:bottom w:w="0" w:type="dxa"/>
            <w:right w:w="108" w:type="dxa"/>
          </w:tblCellMar>
        </w:tblPrEx>
        <w:tc>
          <w:tcPr>
            <w:tcW w:w="784"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类别</w:t>
            </w:r>
          </w:p>
        </w:tc>
        <w:tc>
          <w:tcPr>
            <w:tcW w:w="1853"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项目</w:t>
            </w:r>
          </w:p>
        </w:tc>
        <w:tc>
          <w:tcPr>
            <w:tcW w:w="6933" w:type="dxa"/>
            <w:tcBorders>
              <w:top w:val="single" w:color="000000" w:sz="4" w:space="0"/>
              <w:left w:val="single" w:color="000000" w:sz="4" w:space="0"/>
              <w:bottom w:val="single" w:color="000000" w:sz="4" w:space="0"/>
              <w:right w:val="single" w:color="000000" w:sz="4" w:space="0"/>
            </w:tcBorders>
            <w:vAlign w:val="center"/>
          </w:tcPr>
          <w:p>
            <w:pPr>
              <w:pStyle w:val="184"/>
              <w:adjustRightInd w:val="0"/>
              <w:snapToGrid w:val="0"/>
              <w:ind w:firstLine="0" w:firstLineChars="0"/>
              <w:jc w:val="center"/>
              <w:rPr>
                <w:rFonts w:asciiTheme="minorEastAsia" w:hAnsiTheme="minorEastAsia" w:eastAsiaTheme="minorEastAsia"/>
                <w:szCs w:val="18"/>
              </w:rPr>
            </w:pPr>
            <w:r>
              <w:rPr>
                <w:rFonts w:hint="eastAsia" w:asciiTheme="minorEastAsia" w:hAnsiTheme="minorEastAsia" w:eastAsiaTheme="minorEastAsia"/>
                <w:szCs w:val="18"/>
              </w:rPr>
              <w:t>实例/说明</w:t>
            </w:r>
          </w:p>
        </w:tc>
      </w:tr>
      <w:tr>
        <w:tblPrEx>
          <w:tblLayout w:type="fixed"/>
          <w:tblCellMar>
            <w:top w:w="0" w:type="dxa"/>
            <w:left w:w="108" w:type="dxa"/>
            <w:bottom w:w="0" w:type="dxa"/>
            <w:right w:w="108" w:type="dxa"/>
          </w:tblCellMar>
        </w:tblPrEx>
        <w:tc>
          <w:tcPr>
            <w:tcW w:w="784" w:type="dxa"/>
            <w:vMerge w:val="restart"/>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使用命令</w:t>
            </w:r>
          </w:p>
        </w:tc>
        <w:tc>
          <w:tcPr>
            <w:tcW w:w="837"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现场机</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上传生产监测分钟数据</w:t>
            </w:r>
          </w:p>
        </w:tc>
        <w:tc>
          <w:tcPr>
            <w:tcW w:w="6933" w:type="dxa"/>
            <w:tcBorders>
              <w:top w:val="single" w:color="000000" w:sz="4" w:space="0"/>
              <w:left w:val="single" w:color="000000" w:sz="4" w:space="0"/>
              <w:bottom w:val="single" w:color="000000" w:sz="4" w:space="0"/>
              <w:right w:val="single" w:color="000000" w:sz="4" w:space="0"/>
            </w:tcBorders>
          </w:tcPr>
          <w:p>
            <w:pPr>
              <w:pStyle w:val="184"/>
              <w:adjustRightInd w:val="0"/>
              <w:snapToGrid w:val="0"/>
              <w:ind w:firstLine="0" w:firstLineChars="0"/>
              <w:jc w:val="left"/>
              <w:rPr>
                <w:rFonts w:asciiTheme="minorEastAsia" w:hAnsiTheme="minorEastAsia" w:eastAsiaTheme="minorEastAsia"/>
                <w:szCs w:val="18"/>
              </w:rPr>
            </w:pPr>
            <w:r>
              <w:rPr>
                <w:rFonts w:asciiTheme="minorEastAsia" w:hAnsiTheme="minorEastAsia" w:eastAsiaTheme="minorEastAsia"/>
                <w:szCs w:val="18"/>
              </w:rPr>
              <w:t>QN=20180914131547043;ST=80;CN=2011;PW=123456;MN=010000A8900016F000169DC0;Flag=5;CP=&amp;&amp;DataTime=20180914131500;pg0001-Ia=1.488,pg0001-Ib=1.496,pg0001-Ic=0.000,pg0001-Io=0.000,pg0001-P=0.4762,pg0001-Q=0.0016,pg0001-Pv=1.0500,pg0001-Qv=0.0000,pg0001-The=0.9999,pg0001-Ua=99.6,pg0001-Ub=219.3,pg0001-Uc=0.0,pg0001-RS=1,pg0001-Flag=N&amp;&amp;</w:t>
            </w:r>
          </w:p>
        </w:tc>
      </w:tr>
      <w:tr>
        <w:tblPrEx>
          <w:tblLayout w:type="fixed"/>
          <w:tblCellMar>
            <w:top w:w="0" w:type="dxa"/>
            <w:left w:w="108" w:type="dxa"/>
            <w:bottom w:w="0" w:type="dxa"/>
            <w:right w:w="108" w:type="dxa"/>
          </w:tblCellMar>
        </w:tblPrEx>
        <w:tc>
          <w:tcPr>
            <w:tcW w:w="78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rPr>
            </w:pPr>
          </w:p>
        </w:tc>
        <w:tc>
          <w:tcPr>
            <w:tcW w:w="837"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上位机</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返回数据应答</w:t>
            </w:r>
          </w:p>
        </w:tc>
        <w:tc>
          <w:tcPr>
            <w:tcW w:w="6933" w:type="dxa"/>
            <w:tcBorders>
              <w:top w:val="single" w:color="000000" w:sz="4" w:space="0"/>
              <w:left w:val="single" w:color="000000" w:sz="4" w:space="0"/>
              <w:bottom w:val="single" w:color="000000" w:sz="4" w:space="0"/>
              <w:right w:val="single" w:color="000000" w:sz="4" w:space="0"/>
            </w:tcBorders>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QN=20180914131547043;ST=91;CN=9014;PW=123456;MN=010000A8900016F000169DC0;Flag=4;CP=&amp;&amp;&amp;&amp;</w:t>
            </w:r>
          </w:p>
        </w:tc>
      </w:tr>
      <w:tr>
        <w:tblPrEx>
          <w:tblLayout w:type="fixed"/>
          <w:tblCellMar>
            <w:top w:w="0" w:type="dxa"/>
            <w:left w:w="108" w:type="dxa"/>
            <w:bottom w:w="0" w:type="dxa"/>
            <w:right w:w="108" w:type="dxa"/>
          </w:tblCellMar>
        </w:tblPrEx>
        <w:tc>
          <w:tcPr>
            <w:tcW w:w="784" w:type="dxa"/>
            <w:vMerge w:val="restart"/>
            <w:tcBorders>
              <w:top w:val="single" w:color="000000" w:sz="4" w:space="0"/>
              <w:left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使用字段</w:t>
            </w:r>
          </w:p>
        </w:tc>
        <w:tc>
          <w:tcPr>
            <w:tcW w:w="1853"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DataTime</w:t>
            </w:r>
          </w:p>
        </w:tc>
        <w:tc>
          <w:tcPr>
            <w:tcW w:w="6933" w:type="dxa"/>
            <w:tcBorders>
              <w:top w:val="single" w:color="000000" w:sz="4" w:space="0"/>
              <w:left w:val="single" w:color="000000" w:sz="4" w:space="0"/>
              <w:bottom w:val="single" w:color="000000" w:sz="4" w:space="0"/>
              <w:right w:val="single" w:color="000000" w:sz="4" w:space="0"/>
            </w:tcBorders>
          </w:tcPr>
          <w:p>
            <w:pPr>
              <w:rPr>
                <w:rFonts w:asciiTheme="minorEastAsia" w:hAnsiTheme="minorEastAsia"/>
                <w:lang w:val="ru-RU"/>
              </w:rPr>
            </w:pPr>
            <w:r>
              <w:rPr>
                <w:rFonts w:asciiTheme="minorEastAsia" w:hAnsiTheme="minorEastAsia"/>
              </w:rPr>
              <w:t>数据时间</w:t>
            </w:r>
            <w:r>
              <w:rPr>
                <w:rFonts w:hint="eastAsia" w:hAnsi="宋体"/>
              </w:rPr>
              <w:t>，</w:t>
            </w:r>
            <w:r>
              <w:rPr>
                <w:rFonts w:hint="eastAsia" w:hAnsi="宋体"/>
                <w:color w:val="000000"/>
              </w:rPr>
              <w:t>表示一个时间点，时间精确到秒；</w:t>
            </w:r>
            <w:r>
              <w:rPr>
                <w:rFonts w:asciiTheme="minorEastAsia" w:hAnsiTheme="minorEastAsia"/>
              </w:rPr>
              <w:t>20180914131547</w:t>
            </w:r>
            <w:r>
              <w:rPr>
                <w:rFonts w:hint="eastAsia" w:hAnsi="宋体"/>
                <w:color w:val="000000"/>
              </w:rPr>
              <w:t xml:space="preserve"> 表示上传数据</w:t>
            </w:r>
            <w:r>
              <w:rPr>
                <w:rFonts w:hint="eastAsia" w:hAnsi="宋体"/>
                <w:color w:val="000000"/>
              </w:rPr>
              <w:br w:type="textWrapping"/>
            </w:r>
            <w:r>
              <w:rPr>
                <w:rFonts w:hint="eastAsia" w:hAnsi="宋体"/>
                <w:color w:val="000000"/>
              </w:rPr>
              <w:t>为 2018 年 9 月 14 日 13 时 15 分 47 秒的实时数据</w:t>
            </w:r>
          </w:p>
        </w:tc>
      </w:tr>
      <w:tr>
        <w:tblPrEx>
          <w:tblLayout w:type="fixed"/>
          <w:tblCellMar>
            <w:top w:w="0" w:type="dxa"/>
            <w:left w:w="108" w:type="dxa"/>
            <w:bottom w:w="0" w:type="dxa"/>
            <w:right w:w="108" w:type="dxa"/>
          </w:tblCellMar>
        </w:tblPrEx>
        <w:tc>
          <w:tcPr>
            <w:tcW w:w="784" w:type="dxa"/>
            <w:vMerge w:val="continue"/>
            <w:tcBorders>
              <w:left w:val="single" w:color="000000" w:sz="4" w:space="0"/>
              <w:right w:val="single" w:color="000000" w:sz="4" w:space="0"/>
            </w:tcBorders>
            <w:vAlign w:val="center"/>
          </w:tcPr>
          <w:p>
            <w:pPr>
              <w:widowControl/>
              <w:jc w:val="left"/>
              <w:rPr>
                <w:rFonts w:asciiTheme="minorEastAsia" w:hAnsiTheme="minorEastAsia"/>
              </w:rPr>
            </w:pPr>
          </w:p>
        </w:tc>
        <w:tc>
          <w:tcPr>
            <w:tcW w:w="1853"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pg00</w:t>
            </w:r>
            <w:r>
              <w:rPr>
                <w:rFonts w:hint="eastAsia" w:asciiTheme="minorEastAsia" w:hAnsiTheme="minorEastAsia" w:eastAsiaTheme="minorEastAsia"/>
                <w:szCs w:val="18"/>
              </w:rPr>
              <w:t>01</w:t>
            </w:r>
            <w:r>
              <w:rPr>
                <w:rFonts w:asciiTheme="minorEastAsia" w:hAnsiTheme="minorEastAsia" w:eastAsiaTheme="minorEastAsia"/>
                <w:szCs w:val="18"/>
              </w:rPr>
              <w:t>-xx</w:t>
            </w:r>
          </w:p>
        </w:tc>
        <w:tc>
          <w:tcPr>
            <w:tcW w:w="6933" w:type="dxa"/>
            <w:tcBorders>
              <w:top w:val="single" w:color="000000" w:sz="4" w:space="0"/>
              <w:left w:val="single" w:color="000000" w:sz="4" w:space="0"/>
              <w:bottom w:val="single" w:color="000000" w:sz="4" w:space="0"/>
              <w:right w:val="single" w:color="000000" w:sz="4" w:space="0"/>
            </w:tcBorders>
          </w:tcPr>
          <w:p>
            <w:pPr>
              <w:rPr>
                <w:rFonts w:asciiTheme="minorEastAsia" w:hAnsiTheme="minorEastAsia"/>
              </w:rPr>
            </w:pPr>
            <w:r>
              <w:rPr>
                <w:rFonts w:hint="eastAsia" w:hAnsi="宋体"/>
              </w:rPr>
              <w:t>表述污染物</w:t>
            </w:r>
            <w:r>
              <w:rPr>
                <w:rFonts w:asciiTheme="minorEastAsia" w:hAnsiTheme="minorEastAsia"/>
              </w:rPr>
              <w:t>pg00</w:t>
            </w:r>
            <w:r>
              <w:rPr>
                <w:rFonts w:hint="eastAsia" w:asciiTheme="minorEastAsia" w:hAnsiTheme="minorEastAsia"/>
              </w:rPr>
              <w:t>01</w:t>
            </w:r>
            <w:r>
              <w:rPr>
                <w:rFonts w:hint="eastAsia" w:hAnsi="宋体"/>
              </w:rPr>
              <w:t>的实时数据</w:t>
            </w:r>
          </w:p>
        </w:tc>
      </w:tr>
      <w:tr>
        <w:tblPrEx>
          <w:tblLayout w:type="fixed"/>
          <w:tblCellMar>
            <w:top w:w="0" w:type="dxa"/>
            <w:left w:w="108" w:type="dxa"/>
            <w:bottom w:w="0" w:type="dxa"/>
            <w:right w:w="108" w:type="dxa"/>
          </w:tblCellMar>
        </w:tblPrEx>
        <w:tc>
          <w:tcPr>
            <w:tcW w:w="784" w:type="dxa"/>
            <w:vMerge w:val="continue"/>
            <w:tcBorders>
              <w:left w:val="single" w:color="000000" w:sz="4" w:space="0"/>
              <w:right w:val="single" w:color="000000" w:sz="4" w:space="0"/>
            </w:tcBorders>
            <w:vAlign w:val="center"/>
          </w:tcPr>
          <w:p>
            <w:pPr>
              <w:widowControl/>
              <w:jc w:val="left"/>
              <w:rPr>
                <w:rFonts w:asciiTheme="minorEastAsia" w:hAnsiTheme="minorEastAsia"/>
              </w:rPr>
            </w:pPr>
          </w:p>
        </w:tc>
        <w:tc>
          <w:tcPr>
            <w:tcW w:w="1853"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pg0001-RS</w:t>
            </w:r>
          </w:p>
        </w:tc>
        <w:tc>
          <w:tcPr>
            <w:tcW w:w="6933" w:type="dxa"/>
            <w:tcBorders>
              <w:top w:val="single" w:color="000000" w:sz="4" w:space="0"/>
              <w:left w:val="single" w:color="000000" w:sz="4" w:space="0"/>
              <w:bottom w:val="single" w:color="000000" w:sz="4" w:space="0"/>
              <w:right w:val="single" w:color="000000" w:sz="4" w:space="0"/>
            </w:tcBorders>
          </w:tcPr>
          <w:p>
            <w:pPr>
              <w:rPr>
                <w:rFonts w:asciiTheme="minorEastAsia" w:hAnsiTheme="minorEastAsia"/>
              </w:rPr>
            </w:pPr>
            <w:r>
              <w:rPr>
                <w:rFonts w:hint="eastAsia" w:hAnsi="宋体"/>
              </w:rPr>
              <w:t>表述污染物</w:t>
            </w:r>
            <w:r>
              <w:rPr>
                <w:rFonts w:asciiTheme="minorEastAsia" w:hAnsiTheme="minorEastAsia"/>
              </w:rPr>
              <w:t>pg00</w:t>
            </w:r>
            <w:r>
              <w:rPr>
                <w:rFonts w:hint="eastAsia" w:asciiTheme="minorEastAsia" w:hAnsiTheme="minorEastAsia"/>
              </w:rPr>
              <w:t>01</w:t>
            </w:r>
            <w:r>
              <w:rPr>
                <w:rFonts w:hint="eastAsia" w:hAnsi="宋体"/>
              </w:rPr>
              <w:t>的运行状态，</w:t>
            </w:r>
            <w:r>
              <w:rPr>
                <w:rFonts w:hint="eastAsia" w:asciiTheme="minorEastAsia" w:hAnsiTheme="minorEastAsia"/>
              </w:rPr>
              <w:t>值为1表示运行。</w:t>
            </w:r>
          </w:p>
        </w:tc>
      </w:tr>
      <w:tr>
        <w:tblPrEx>
          <w:tblLayout w:type="fixed"/>
          <w:tblCellMar>
            <w:top w:w="0" w:type="dxa"/>
            <w:left w:w="108" w:type="dxa"/>
            <w:bottom w:w="0" w:type="dxa"/>
            <w:right w:w="108" w:type="dxa"/>
          </w:tblCellMar>
        </w:tblPrEx>
        <w:tc>
          <w:tcPr>
            <w:tcW w:w="784" w:type="dxa"/>
            <w:vMerge w:val="continue"/>
            <w:tcBorders>
              <w:left w:val="single" w:color="000000" w:sz="4" w:space="0"/>
              <w:bottom w:val="single" w:color="000000" w:sz="4" w:space="0"/>
              <w:right w:val="single" w:color="000000" w:sz="4" w:space="0"/>
            </w:tcBorders>
            <w:vAlign w:val="center"/>
          </w:tcPr>
          <w:p>
            <w:pPr>
              <w:widowControl/>
              <w:jc w:val="left"/>
              <w:rPr>
                <w:rFonts w:asciiTheme="minorEastAsia" w:hAnsiTheme="minorEastAsia"/>
              </w:rPr>
            </w:pPr>
          </w:p>
        </w:tc>
        <w:tc>
          <w:tcPr>
            <w:tcW w:w="1853" w:type="dxa"/>
            <w:gridSpan w:val="2"/>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pg0001-Flag</w:t>
            </w:r>
          </w:p>
        </w:tc>
        <w:tc>
          <w:tcPr>
            <w:tcW w:w="6933" w:type="dxa"/>
            <w:tcBorders>
              <w:top w:val="single" w:color="000000" w:sz="4" w:space="0"/>
              <w:left w:val="single" w:color="000000" w:sz="4" w:space="0"/>
              <w:bottom w:val="single" w:color="000000" w:sz="4" w:space="0"/>
              <w:right w:val="single" w:color="000000" w:sz="4" w:space="0"/>
            </w:tcBorders>
          </w:tcPr>
          <w:p>
            <w:pPr>
              <w:rPr>
                <w:rFonts w:asciiTheme="minorEastAsia" w:hAnsiTheme="minorEastAsia"/>
              </w:rPr>
            </w:pPr>
            <w:r>
              <w:rPr>
                <w:rFonts w:hint="eastAsia" w:hAnsi="宋体"/>
              </w:rPr>
              <w:t>表述污染物</w:t>
            </w:r>
            <w:r>
              <w:rPr>
                <w:rFonts w:asciiTheme="minorEastAsia" w:hAnsiTheme="minorEastAsia"/>
              </w:rPr>
              <w:t>pg00</w:t>
            </w:r>
            <w:r>
              <w:rPr>
                <w:rFonts w:hint="eastAsia" w:asciiTheme="minorEastAsia" w:hAnsiTheme="minorEastAsia"/>
              </w:rPr>
              <w:t>01的实时数据标识，值为N表示工作正常。</w:t>
            </w:r>
          </w:p>
        </w:tc>
      </w:tr>
      <w:tr>
        <w:tblPrEx>
          <w:tblLayout w:type="fixed"/>
          <w:tblCellMar>
            <w:top w:w="0" w:type="dxa"/>
            <w:left w:w="108" w:type="dxa"/>
            <w:bottom w:w="0" w:type="dxa"/>
            <w:right w:w="108" w:type="dxa"/>
          </w:tblCellMar>
        </w:tblPrEx>
        <w:tc>
          <w:tcPr>
            <w:tcW w:w="784" w:type="dxa"/>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执行过程</w:t>
            </w:r>
          </w:p>
        </w:tc>
        <w:tc>
          <w:tcPr>
            <w:tcW w:w="8786" w:type="dxa"/>
            <w:gridSpan w:val="3"/>
            <w:tcBorders>
              <w:top w:val="single" w:color="000000" w:sz="4" w:space="0"/>
              <w:left w:val="single" w:color="000000" w:sz="4" w:space="0"/>
              <w:bottom w:val="single" w:color="000000" w:sz="4" w:space="0"/>
              <w:right w:val="single" w:color="000000" w:sz="4" w:space="0"/>
            </w:tcBorders>
            <w:vAlign w:val="center"/>
          </w:tcPr>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1、现场机以</w:t>
            </w:r>
            <w:r>
              <w:rPr>
                <w:rFonts w:hint="eastAsia" w:asciiTheme="minorEastAsia" w:hAnsiTheme="minorEastAsia" w:eastAsiaTheme="minorEastAsia"/>
                <w:szCs w:val="18"/>
              </w:rPr>
              <w:t>上传实时数据间隔（15分钟）为周期</w:t>
            </w:r>
            <w:r>
              <w:rPr>
                <w:rFonts w:asciiTheme="minorEastAsia" w:hAnsiTheme="minorEastAsia" w:eastAsiaTheme="minorEastAsia"/>
                <w:szCs w:val="18"/>
              </w:rPr>
              <w:t>发送“上传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w:t>
            </w:r>
            <w:r>
              <w:rPr>
                <w:rFonts w:hint="eastAsia" w:asciiTheme="minorEastAsia" w:hAnsiTheme="minorEastAsia" w:eastAsiaTheme="minorEastAsia"/>
                <w:szCs w:val="18"/>
              </w:rPr>
              <w:t>;</w:t>
            </w:r>
          </w:p>
          <w:p>
            <w:pPr>
              <w:pStyle w:val="184"/>
              <w:ind w:firstLine="0" w:firstLineChars="0"/>
              <w:jc w:val="left"/>
              <w:rPr>
                <w:rFonts w:asciiTheme="minorEastAsia" w:hAnsiTheme="minorEastAsia" w:eastAsiaTheme="minorEastAsia"/>
                <w:szCs w:val="18"/>
              </w:rPr>
            </w:pPr>
            <w:r>
              <w:rPr>
                <w:rFonts w:asciiTheme="minorEastAsia" w:hAnsiTheme="minorEastAsia" w:eastAsiaTheme="minorEastAsia"/>
                <w:szCs w:val="18"/>
              </w:rPr>
              <w:t>2、上位机接收“上传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监测分钟数据”命令并执行，根据标志Flag的值决定是否返回“数据应答”</w:t>
            </w:r>
            <w:r>
              <w:rPr>
                <w:rFonts w:hint="eastAsia" w:asciiTheme="minorEastAsia" w:hAnsiTheme="minorEastAsia" w:eastAsiaTheme="minorEastAsia"/>
                <w:szCs w:val="18"/>
              </w:rPr>
              <w:t>;</w:t>
            </w:r>
          </w:p>
          <w:p>
            <w:pPr>
              <w:pStyle w:val="184"/>
              <w:numPr>
                <w:ilvl w:val="0"/>
                <w:numId w:val="19"/>
              </w:numPr>
              <w:ind w:firstLineChars="0"/>
              <w:jc w:val="left"/>
              <w:rPr>
                <w:rFonts w:asciiTheme="minorEastAsia" w:hAnsiTheme="minorEastAsia" w:eastAsiaTheme="minorEastAsia"/>
                <w:szCs w:val="18"/>
              </w:rPr>
            </w:pPr>
            <w:r>
              <w:rPr>
                <w:rFonts w:asciiTheme="minorEastAsia" w:hAnsiTheme="minorEastAsia" w:eastAsiaTheme="minorEastAsia"/>
                <w:szCs w:val="18"/>
              </w:rPr>
              <w:t>如果“上传</w:t>
            </w:r>
            <w:r>
              <w:rPr>
                <w:rFonts w:hint="eastAsia" w:asciiTheme="minorEastAsia" w:hAnsiTheme="minorEastAsia" w:eastAsiaTheme="minorEastAsia"/>
                <w:szCs w:val="18"/>
              </w:rPr>
              <w:t>用电</w:t>
            </w:r>
            <w:r>
              <w:rPr>
                <w:rFonts w:asciiTheme="minorEastAsia" w:hAnsiTheme="minorEastAsia" w:eastAsiaTheme="minorEastAsia"/>
                <w:szCs w:val="18"/>
              </w:rPr>
              <w:t>监测分钟数据”命令需要数据应答，现场机接收“数据应答”，请求执行完毕</w:t>
            </w:r>
            <w:r>
              <w:rPr>
                <w:rFonts w:hint="eastAsia" w:asciiTheme="minorEastAsia" w:hAnsiTheme="minorEastAsia" w:eastAsiaTheme="minorEastAsia"/>
                <w:szCs w:val="18"/>
              </w:rPr>
              <w:t>。</w:t>
            </w:r>
          </w:p>
        </w:tc>
      </w:tr>
    </w:tbl>
    <w:p>
      <w:pPr>
        <w:pStyle w:val="115"/>
        <w:numPr>
          <w:ilvl w:val="0"/>
          <w:numId w:val="0"/>
        </w:numPr>
        <w:tabs>
          <w:tab w:val="left" w:pos="360"/>
        </w:tabs>
      </w:pPr>
      <w:bookmarkStart w:id="37" w:name="_Toc5172503"/>
      <w:r>
        <w:rPr>
          <w:rFonts w:hint="eastAsia"/>
        </w:rPr>
        <w:t>附录F</w:t>
      </w:r>
      <w:r>
        <w:t xml:space="preserve"> </w:t>
      </w:r>
      <w:r>
        <w:rPr>
          <w:rFonts w:hint="eastAsia"/>
        </w:rPr>
        <w:t xml:space="preserve"> </w:t>
      </w:r>
      <w:r>
        <w:t>电气参数计算公式</w:t>
      </w:r>
      <w:bookmarkEnd w:id="37"/>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电压数据：</w:t>
      </w:r>
      <m:oMath>
        <m:r>
          <m:rPr>
            <m:sty m:val="p"/>
          </m:rPr>
          <w:rPr>
            <w:rFonts w:ascii="Cambria Math" w:cs="Times New Roman" w:hAnsiTheme="minorEastAsia"/>
            <w:sz w:val="18"/>
            <w:szCs w:val="18"/>
          </w:rPr>
          <m:t>Ua</m:t>
        </m:r>
      </m:oMath>
      <w:r>
        <w:rPr>
          <w:rFonts w:cs="Times New Roman" w:asciiTheme="minorEastAsia" w:hAnsiTheme="minorEastAsia"/>
          <w:sz w:val="18"/>
          <w:szCs w:val="18"/>
        </w:rPr>
        <w:t xml:space="preserve"> 、</w:t>
      </w:r>
      <m:oMath>
        <m:r>
          <m:rPr>
            <m:sty m:val="p"/>
          </m:rPr>
          <w:rPr>
            <w:rFonts w:ascii="Cambria Math" w:cs="Times New Roman" w:hAnsiTheme="minorEastAsia"/>
            <w:sz w:val="18"/>
            <w:szCs w:val="18"/>
          </w:rPr>
          <m:t>Ub</m:t>
        </m:r>
      </m:oMath>
      <w:r>
        <w:rPr>
          <w:rFonts w:cs="Times New Roman" w:asciiTheme="minorEastAsia" w:hAnsiTheme="minorEastAsia"/>
          <w:sz w:val="18"/>
          <w:szCs w:val="18"/>
        </w:rPr>
        <w:t xml:space="preserve">b、 </w:t>
      </w:r>
      <m:oMath>
        <m:r>
          <m:rPr>
            <m:sty m:val="p"/>
          </m:rPr>
          <w:rPr>
            <w:rFonts w:ascii="Cambria Math" w:cs="Times New Roman" w:hAnsiTheme="minorEastAsia"/>
            <w:sz w:val="18"/>
            <w:szCs w:val="18"/>
          </w:rPr>
          <m:t>Uc</m:t>
        </m:r>
      </m:oMath>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电流数据：</w:t>
      </w:r>
      <m:oMath>
        <m:r>
          <m:rPr>
            <m:sty m:val="p"/>
          </m:rPr>
          <w:rPr>
            <w:rFonts w:ascii="Cambria Math" w:cs="Times New Roman" w:hAnsiTheme="minorEastAsia"/>
            <w:sz w:val="18"/>
            <w:szCs w:val="18"/>
          </w:rPr>
          <m:t>Ia</m:t>
        </m:r>
      </m:oMath>
      <w:r>
        <w:rPr>
          <w:rFonts w:cs="Times New Roman" w:asciiTheme="minorEastAsia" w:hAnsiTheme="minorEastAsia"/>
          <w:sz w:val="18"/>
          <w:szCs w:val="18"/>
        </w:rPr>
        <w:t xml:space="preserve"> 、 </w:t>
      </w:r>
      <m:oMath>
        <m:r>
          <m:rPr>
            <m:sty m:val="p"/>
          </m:rPr>
          <w:rPr>
            <w:rFonts w:ascii="Cambria Math" w:cs="Times New Roman" w:hAnsiTheme="minorEastAsia"/>
            <w:sz w:val="18"/>
            <w:szCs w:val="18"/>
          </w:rPr>
          <m:t>Ib</m:t>
        </m:r>
      </m:oMath>
      <w:r>
        <w:rPr>
          <w:rFonts w:cs="Times New Roman" w:asciiTheme="minorEastAsia" w:hAnsiTheme="minorEastAsia"/>
          <w:sz w:val="18"/>
          <w:szCs w:val="18"/>
        </w:rPr>
        <w:t xml:space="preserve"> 、 </w:t>
      </w:r>
      <m:oMath>
        <m:r>
          <m:rPr>
            <m:sty m:val="p"/>
          </m:rPr>
          <w:rPr>
            <w:rFonts w:ascii="Cambria Math" w:cs="Times New Roman" w:hAnsiTheme="minorEastAsia"/>
            <w:sz w:val="18"/>
            <w:szCs w:val="18"/>
          </w:rPr>
          <m:t>Ic</m:t>
        </m:r>
      </m:oMath>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 xml:space="preserve">瞬时数据功率：有功功率： </w:t>
      </w:r>
      <w:r>
        <w:rPr>
          <w:rFonts w:cs="Times New Roman" w:asciiTheme="minorEastAsia" w:hAnsiTheme="minorEastAsia"/>
          <w:position w:val="-12"/>
          <w:sz w:val="18"/>
          <w:szCs w:val="18"/>
        </w:rPr>
        <w:drawing>
          <wp:inline distT="0" distB="0" distL="0" distR="0">
            <wp:extent cx="1044575" cy="231140"/>
            <wp:effectExtent l="0" t="0" r="3175" b="17145"/>
            <wp:docPr id="1032" name="Image1"/>
            <wp:cNvGraphicFramePr/>
            <a:graphic xmlns:a="http://schemas.openxmlformats.org/drawingml/2006/main">
              <a:graphicData uri="http://schemas.openxmlformats.org/drawingml/2006/picture">
                <pic:pic xmlns:pic="http://schemas.openxmlformats.org/drawingml/2006/picture">
                  <pic:nvPicPr>
                    <pic:cNvPr id="1032" name="Image1"/>
                    <pic:cNvPicPr/>
                  </pic:nvPicPr>
                  <pic:blipFill>
                    <a:blip r:embed="rId8" cstate="print"/>
                    <a:srcRect/>
                    <a:stretch>
                      <a:fillRect/>
                    </a:stretch>
                  </pic:blipFill>
                  <pic:spPr>
                    <a:xfrm>
                      <a:off x="0" y="0"/>
                      <a:ext cx="1044575" cy="231140"/>
                    </a:xfrm>
                    <a:prstGeom prst="rect">
                      <a:avLst/>
                    </a:prstGeom>
                    <a:ln>
                      <a:noFill/>
                    </a:ln>
                  </pic:spPr>
                </pic:pic>
              </a:graphicData>
            </a:graphic>
          </wp:inline>
        </w:drawing>
      </w:r>
      <w:r>
        <w:rPr>
          <w:rFonts w:cs="Times New Roman" w:asciiTheme="minorEastAsia" w:hAnsiTheme="minorEastAsia"/>
          <w:sz w:val="18"/>
          <w:szCs w:val="18"/>
        </w:rPr>
        <w:t>；</w:t>
      </w:r>
    </w:p>
    <w:p>
      <w:pPr>
        <w:ind w:left="1260" w:firstLine="420"/>
        <w:rPr>
          <w:rFonts w:cs="Times New Roman" w:asciiTheme="minorEastAsia" w:hAnsiTheme="minorEastAsia"/>
          <w:sz w:val="18"/>
          <w:szCs w:val="18"/>
        </w:rPr>
      </w:pPr>
      <w:r>
        <w:rPr>
          <w:rFonts w:cs="Times New Roman" w:asciiTheme="minorEastAsia" w:hAnsiTheme="minorEastAsia"/>
          <w:sz w:val="18"/>
          <w:szCs w:val="18"/>
        </w:rPr>
        <w:t xml:space="preserve">  无功功率：</w:t>
      </w:r>
      <w:r>
        <w:rPr>
          <w:rFonts w:cs="Times New Roman" w:asciiTheme="minorEastAsia" w:hAnsiTheme="minorEastAsia"/>
          <w:position w:val="-12"/>
          <w:sz w:val="18"/>
          <w:szCs w:val="18"/>
        </w:rPr>
        <w:drawing>
          <wp:inline distT="0" distB="0" distL="0" distR="0">
            <wp:extent cx="1158875" cy="231140"/>
            <wp:effectExtent l="0" t="0" r="3175" b="17145"/>
            <wp:docPr id="1033" name="Image1"/>
            <wp:cNvGraphicFramePr/>
            <a:graphic xmlns:a="http://schemas.openxmlformats.org/drawingml/2006/main">
              <a:graphicData uri="http://schemas.openxmlformats.org/drawingml/2006/picture">
                <pic:pic xmlns:pic="http://schemas.openxmlformats.org/drawingml/2006/picture">
                  <pic:nvPicPr>
                    <pic:cNvPr id="1033" name="Image1"/>
                    <pic:cNvPicPr/>
                  </pic:nvPicPr>
                  <pic:blipFill>
                    <a:blip r:embed="rId9" cstate="print"/>
                    <a:srcRect/>
                    <a:stretch>
                      <a:fillRect/>
                    </a:stretch>
                  </pic:blipFill>
                  <pic:spPr>
                    <a:xfrm>
                      <a:off x="0" y="0"/>
                      <a:ext cx="1158875" cy="231140"/>
                    </a:xfrm>
                    <a:prstGeom prst="rect">
                      <a:avLst/>
                    </a:prstGeom>
                    <a:ln>
                      <a:noFill/>
                    </a:ln>
                  </pic:spPr>
                </pic:pic>
              </a:graphicData>
            </a:graphic>
          </wp:inline>
        </w:drawing>
      </w:r>
      <w:r>
        <w:rPr>
          <w:rFonts w:cs="Times New Roman" w:asciiTheme="minorEastAsia" w:hAnsiTheme="minorEastAsia"/>
          <w:sz w:val="18"/>
          <w:szCs w:val="18"/>
        </w:rPr>
        <w:t>；</w:t>
      </w:r>
    </w:p>
    <w:p>
      <w:pPr>
        <w:ind w:left="1260" w:firstLine="420"/>
        <w:rPr>
          <w:rFonts w:cs="Times New Roman" w:asciiTheme="minorEastAsia" w:hAnsiTheme="minorEastAsia"/>
          <w:sz w:val="18"/>
          <w:szCs w:val="18"/>
        </w:rPr>
      </w:pPr>
      <w:r>
        <w:rPr>
          <w:rFonts w:cs="Times New Roman" w:asciiTheme="minorEastAsia" w:hAnsiTheme="minorEastAsia"/>
          <w:sz w:val="18"/>
          <w:szCs w:val="18"/>
        </w:rPr>
        <w:t xml:space="preserve">  视在功率：</w:t>
      </w:r>
      <w:r>
        <w:rPr>
          <w:rFonts w:cs="Times New Roman" w:asciiTheme="minorEastAsia" w:hAnsiTheme="minorEastAsia"/>
          <w:position w:val="-12"/>
          <w:sz w:val="18"/>
          <w:szCs w:val="18"/>
        </w:rPr>
        <w:drawing>
          <wp:inline distT="0" distB="0" distL="0" distR="0">
            <wp:extent cx="177800" cy="231140"/>
            <wp:effectExtent l="0" t="0" r="12700" b="17145"/>
            <wp:docPr id="1034" name="Image1"/>
            <wp:cNvGraphicFramePr/>
            <a:graphic xmlns:a="http://schemas.openxmlformats.org/drawingml/2006/main">
              <a:graphicData uri="http://schemas.openxmlformats.org/drawingml/2006/picture">
                <pic:pic xmlns:pic="http://schemas.openxmlformats.org/drawingml/2006/picture">
                  <pic:nvPicPr>
                    <pic:cNvPr id="1034" name="Image1"/>
                    <pic:cNvPicPr/>
                  </pic:nvPicPr>
                  <pic:blipFill>
                    <a:blip r:embed="rId10" cstate="print"/>
                    <a:srcRect/>
                    <a:stretch>
                      <a:fillRect/>
                    </a:stretch>
                  </pic:blipFill>
                  <pic:spPr>
                    <a:xfrm>
                      <a:off x="0" y="0"/>
                      <a:ext cx="177800" cy="23114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14"/>
          <w:sz w:val="18"/>
          <w:szCs w:val="18"/>
        </w:rPr>
        <w:drawing>
          <wp:inline distT="0" distB="0" distL="0" distR="0">
            <wp:extent cx="647700" cy="292100"/>
            <wp:effectExtent l="0" t="0" r="0" b="13335"/>
            <wp:docPr id="1035" name="Image1"/>
            <wp:cNvGraphicFramePr/>
            <a:graphic xmlns:a="http://schemas.openxmlformats.org/drawingml/2006/main">
              <a:graphicData uri="http://schemas.openxmlformats.org/drawingml/2006/picture">
                <pic:pic xmlns:pic="http://schemas.openxmlformats.org/drawingml/2006/picture">
                  <pic:nvPicPr>
                    <pic:cNvPr id="1035" name="Image1"/>
                    <pic:cNvPicPr/>
                  </pic:nvPicPr>
                  <pic:blipFill>
                    <a:blip r:embed="rId11" cstate="print"/>
                    <a:srcRect/>
                    <a:stretch>
                      <a:fillRect/>
                    </a:stretch>
                  </pic:blipFill>
                  <pic:spPr>
                    <a:xfrm>
                      <a:off x="0" y="0"/>
                      <a:ext cx="647700" cy="29210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12"/>
          <w:sz w:val="18"/>
          <w:szCs w:val="18"/>
        </w:rPr>
        <w:drawing>
          <wp:inline distT="0" distB="0" distL="0" distR="0">
            <wp:extent cx="177800" cy="231140"/>
            <wp:effectExtent l="0" t="0" r="12700" b="17145"/>
            <wp:docPr id="1036" name="Image1"/>
            <wp:cNvGraphicFramePr/>
            <a:graphic xmlns:a="http://schemas.openxmlformats.org/drawingml/2006/main">
              <a:graphicData uri="http://schemas.openxmlformats.org/drawingml/2006/picture">
                <pic:pic xmlns:pic="http://schemas.openxmlformats.org/drawingml/2006/picture">
                  <pic:nvPicPr>
                    <pic:cNvPr id="1036" name="Image1"/>
                    <pic:cNvPicPr/>
                  </pic:nvPicPr>
                  <pic:blipFill>
                    <a:blip r:embed="rId12" cstate="print"/>
                    <a:srcRect/>
                    <a:stretch>
                      <a:fillRect/>
                    </a:stretch>
                  </pic:blipFill>
                  <pic:spPr>
                    <a:xfrm>
                      <a:off x="0" y="0"/>
                      <a:ext cx="177800" cy="23114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14"/>
          <w:sz w:val="18"/>
          <w:szCs w:val="18"/>
        </w:rPr>
        <w:drawing>
          <wp:inline distT="0" distB="0" distL="0" distR="0">
            <wp:extent cx="701675" cy="307975"/>
            <wp:effectExtent l="0" t="0" r="3175" b="16510"/>
            <wp:docPr id="1037" name="Image1"/>
            <wp:cNvGraphicFramePr/>
            <a:graphic xmlns:a="http://schemas.openxmlformats.org/drawingml/2006/main">
              <a:graphicData uri="http://schemas.openxmlformats.org/drawingml/2006/picture">
                <pic:pic xmlns:pic="http://schemas.openxmlformats.org/drawingml/2006/picture">
                  <pic:nvPicPr>
                    <pic:cNvPr id="1037" name="Image1"/>
                    <pic:cNvPicPr/>
                  </pic:nvPicPr>
                  <pic:blipFill>
                    <a:blip r:embed="rId13" cstate="print"/>
                    <a:srcRect/>
                    <a:stretch>
                      <a:fillRect/>
                    </a:stretch>
                  </pic:blipFill>
                  <pic:spPr>
                    <a:xfrm>
                      <a:off x="0" y="0"/>
                      <a:ext cx="701675" cy="307975"/>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14"/>
          <w:sz w:val="18"/>
          <w:szCs w:val="18"/>
        </w:rPr>
        <w:drawing>
          <wp:inline distT="0" distB="0" distL="0" distR="0">
            <wp:extent cx="968375" cy="292100"/>
            <wp:effectExtent l="0" t="0" r="3175" b="13335"/>
            <wp:docPr id="1038" name="Image1"/>
            <wp:cNvGraphicFramePr/>
            <a:graphic xmlns:a="http://schemas.openxmlformats.org/drawingml/2006/main">
              <a:graphicData uri="http://schemas.openxmlformats.org/drawingml/2006/picture">
                <pic:pic xmlns:pic="http://schemas.openxmlformats.org/drawingml/2006/picture">
                  <pic:nvPicPr>
                    <pic:cNvPr id="1038" name="Image1"/>
                    <pic:cNvPicPr/>
                  </pic:nvPicPr>
                  <pic:blipFill>
                    <a:blip r:embed="rId14" cstate="print"/>
                    <a:srcRect/>
                    <a:stretch>
                      <a:fillRect/>
                    </a:stretch>
                  </pic:blipFill>
                  <pic:spPr>
                    <a:xfrm>
                      <a:off x="0" y="0"/>
                      <a:ext cx="968375" cy="292100"/>
                    </a:xfrm>
                    <a:prstGeom prst="rect">
                      <a:avLst/>
                    </a:prstGeom>
                    <a:ln>
                      <a:noFill/>
                    </a:ln>
                  </pic:spPr>
                </pic:pic>
              </a:graphicData>
            </a:graphic>
          </wp:inline>
        </w:drawing>
      </w:r>
      <w:r>
        <w:rPr>
          <w:rFonts w:cs="Times New Roman" w:asciiTheme="minorEastAsia" w:hAnsiTheme="minorEastAsia"/>
          <w:sz w:val="18"/>
          <w:szCs w:val="18"/>
        </w:rPr>
        <w:t>、</w:t>
      </w:r>
    </w:p>
    <w:p>
      <w:pPr>
        <w:ind w:left="1260" w:firstLine="540" w:firstLineChars="300"/>
        <w:rPr>
          <w:rFonts w:cs="Times New Roman" w:asciiTheme="minorEastAsia" w:hAnsiTheme="minorEastAsia"/>
          <w:color w:val="FF0000"/>
          <w:sz w:val="18"/>
          <w:szCs w:val="18"/>
        </w:rPr>
      </w:pPr>
      <w:r>
        <w:rPr>
          <w:rFonts w:cs="Times New Roman" w:asciiTheme="minorEastAsia" w:hAnsiTheme="minorEastAsia"/>
          <w:position w:val="-14"/>
          <w:sz w:val="18"/>
          <w:szCs w:val="18"/>
        </w:rPr>
        <w:drawing>
          <wp:inline distT="0" distB="0" distL="0" distR="0">
            <wp:extent cx="1016000" cy="292100"/>
            <wp:effectExtent l="0" t="0" r="12700" b="13335"/>
            <wp:docPr id="1039" name="Image1"/>
            <wp:cNvGraphicFramePr/>
            <a:graphic xmlns:a="http://schemas.openxmlformats.org/drawingml/2006/main">
              <a:graphicData uri="http://schemas.openxmlformats.org/drawingml/2006/picture">
                <pic:pic xmlns:pic="http://schemas.openxmlformats.org/drawingml/2006/picture">
                  <pic:nvPicPr>
                    <pic:cNvPr id="1039" name="Image1"/>
                    <pic:cNvPicPr/>
                  </pic:nvPicPr>
                  <pic:blipFill>
                    <a:blip r:embed="rId15" cstate="print"/>
                    <a:srcRect/>
                    <a:stretch>
                      <a:fillRect/>
                    </a:stretch>
                  </pic:blipFill>
                  <pic:spPr>
                    <a:xfrm>
                      <a:off x="0" y="0"/>
                      <a:ext cx="1016000" cy="292100"/>
                    </a:xfrm>
                    <a:prstGeom prst="rect">
                      <a:avLst/>
                    </a:prstGeom>
                    <a:ln>
                      <a:noFill/>
                    </a:ln>
                  </pic:spPr>
                </pic:pic>
              </a:graphicData>
            </a:graphic>
          </wp:inline>
        </w:drawing>
      </w:r>
      <w:r>
        <w:rPr>
          <w:rFonts w:cs="Times New Roman" w:asciiTheme="minorEastAsia" w:hAnsiTheme="minorEastAsia"/>
          <w:sz w:val="18"/>
          <w:szCs w:val="18"/>
        </w:rPr>
        <w:t>；</w:t>
      </w:r>
    </w:p>
    <w:p>
      <w:pPr>
        <w:rPr>
          <w:rFonts w:cs="Times New Roman" w:asciiTheme="minorEastAsia" w:hAnsiTheme="minorEastAsia"/>
          <w:sz w:val="18"/>
          <w:szCs w:val="18"/>
        </w:rPr>
      </w:pPr>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功率因数：</w:t>
      </w:r>
      <w:r>
        <w:rPr>
          <w:rFonts w:cs="Times New Roman" w:asciiTheme="minorEastAsia" w:hAnsiTheme="minorEastAsia"/>
          <w:position w:val="-30"/>
          <w:sz w:val="18"/>
          <w:szCs w:val="18"/>
        </w:rPr>
        <w:drawing>
          <wp:inline distT="0" distB="0" distL="0" distR="0">
            <wp:extent cx="558800" cy="438150"/>
            <wp:effectExtent l="0" t="0" r="0" b="0"/>
            <wp:docPr id="1040" name="Image1"/>
            <wp:cNvGraphicFramePr/>
            <a:graphic xmlns:a="http://schemas.openxmlformats.org/drawingml/2006/main">
              <a:graphicData uri="http://schemas.openxmlformats.org/drawingml/2006/picture">
                <pic:pic xmlns:pic="http://schemas.openxmlformats.org/drawingml/2006/picture">
                  <pic:nvPicPr>
                    <pic:cNvPr id="1040" name="Image1"/>
                    <pic:cNvPicPr/>
                  </pic:nvPicPr>
                  <pic:blipFill>
                    <a:blip r:embed="rId16" cstate="print"/>
                    <a:srcRect/>
                    <a:stretch>
                      <a:fillRect/>
                    </a:stretch>
                  </pic:blipFill>
                  <pic:spPr>
                    <a:xfrm>
                      <a:off x="0" y="0"/>
                      <a:ext cx="558800" cy="43815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30"/>
          <w:sz w:val="18"/>
          <w:szCs w:val="18"/>
        </w:rPr>
        <w:drawing>
          <wp:inline distT="0" distB="0" distL="0" distR="0">
            <wp:extent cx="546100" cy="438150"/>
            <wp:effectExtent l="0" t="0" r="6350" b="0"/>
            <wp:docPr id="1041" name="Image1"/>
            <wp:cNvGraphicFramePr/>
            <a:graphic xmlns:a="http://schemas.openxmlformats.org/drawingml/2006/main">
              <a:graphicData uri="http://schemas.openxmlformats.org/drawingml/2006/picture">
                <pic:pic xmlns:pic="http://schemas.openxmlformats.org/drawingml/2006/picture">
                  <pic:nvPicPr>
                    <pic:cNvPr id="1041" name="Image1"/>
                    <pic:cNvPicPr/>
                  </pic:nvPicPr>
                  <pic:blipFill>
                    <a:blip r:embed="rId17" cstate="print"/>
                    <a:srcRect/>
                    <a:stretch>
                      <a:fillRect/>
                    </a:stretch>
                  </pic:blipFill>
                  <pic:spPr>
                    <a:xfrm>
                      <a:off x="0" y="0"/>
                      <a:ext cx="546100" cy="43815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30"/>
          <w:sz w:val="18"/>
          <w:szCs w:val="18"/>
        </w:rPr>
        <w:drawing>
          <wp:inline distT="0" distB="0" distL="0" distR="0">
            <wp:extent cx="546100" cy="438150"/>
            <wp:effectExtent l="0" t="0" r="0" b="0"/>
            <wp:docPr id="1042" name="Image1"/>
            <wp:cNvGraphicFramePr/>
            <a:graphic xmlns:a="http://schemas.openxmlformats.org/drawingml/2006/main">
              <a:graphicData uri="http://schemas.openxmlformats.org/drawingml/2006/picture">
                <pic:pic xmlns:pic="http://schemas.openxmlformats.org/drawingml/2006/picture">
                  <pic:nvPicPr>
                    <pic:cNvPr id="1042" name="Image1"/>
                    <pic:cNvPicPr/>
                  </pic:nvPicPr>
                  <pic:blipFill>
                    <a:blip r:embed="rId18" cstate="print"/>
                    <a:srcRect/>
                    <a:stretch>
                      <a:fillRect/>
                    </a:stretch>
                  </pic:blipFill>
                  <pic:spPr>
                    <a:xfrm>
                      <a:off x="0" y="0"/>
                      <a:ext cx="546100" cy="438150"/>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32"/>
          <w:sz w:val="18"/>
          <w:szCs w:val="18"/>
        </w:rPr>
        <w:drawing>
          <wp:inline distT="0" distB="0" distL="0" distR="0">
            <wp:extent cx="660400" cy="457200"/>
            <wp:effectExtent l="0" t="0" r="0" b="0"/>
            <wp:docPr id="1043" name="Image1"/>
            <wp:cNvGraphicFramePr/>
            <a:graphic xmlns:a="http://schemas.openxmlformats.org/drawingml/2006/main">
              <a:graphicData uri="http://schemas.openxmlformats.org/drawingml/2006/picture">
                <pic:pic xmlns:pic="http://schemas.openxmlformats.org/drawingml/2006/picture">
                  <pic:nvPicPr>
                    <pic:cNvPr id="1043" name="Image1"/>
                    <pic:cNvPicPr/>
                  </pic:nvPicPr>
                  <pic:blipFill>
                    <a:blip r:embed="rId19" cstate="print"/>
                    <a:srcRect/>
                    <a:stretch>
                      <a:fillRect/>
                    </a:stretch>
                  </pic:blipFill>
                  <pic:spPr>
                    <a:xfrm>
                      <a:off x="0" y="0"/>
                      <a:ext cx="660400" cy="457200"/>
                    </a:xfrm>
                    <a:prstGeom prst="rect">
                      <a:avLst/>
                    </a:prstGeom>
                    <a:ln>
                      <a:noFill/>
                    </a:ln>
                  </pic:spPr>
                </pic:pic>
              </a:graphicData>
            </a:graphic>
          </wp:inline>
        </w:drawing>
      </w:r>
      <w:r>
        <w:rPr>
          <w:rFonts w:cs="Times New Roman" w:asciiTheme="minorEastAsia" w:hAnsiTheme="minorEastAsia"/>
          <w:sz w:val="18"/>
          <w:szCs w:val="18"/>
        </w:rPr>
        <w:t>；</w:t>
      </w:r>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 xml:space="preserve">功率角数据： </w:t>
      </w:r>
      <w:r>
        <w:rPr>
          <w:rFonts w:cs="Times New Roman" w:asciiTheme="minorEastAsia" w:hAnsiTheme="minorEastAsia"/>
          <w:position w:val="-24"/>
          <w:sz w:val="18"/>
          <w:szCs w:val="18"/>
        </w:rPr>
        <w:drawing>
          <wp:inline distT="0" distB="0" distL="0" distR="0">
            <wp:extent cx="1282700" cy="415925"/>
            <wp:effectExtent l="0" t="0" r="12700" b="3175"/>
            <wp:docPr id="1044" name="Image1"/>
            <wp:cNvGraphicFramePr/>
            <a:graphic xmlns:a="http://schemas.openxmlformats.org/drawingml/2006/main">
              <a:graphicData uri="http://schemas.openxmlformats.org/drawingml/2006/picture">
                <pic:pic xmlns:pic="http://schemas.openxmlformats.org/drawingml/2006/picture">
                  <pic:nvPicPr>
                    <pic:cNvPr id="1044" name="Image1"/>
                    <pic:cNvPicPr/>
                  </pic:nvPicPr>
                  <pic:blipFill>
                    <a:blip r:embed="rId20" cstate="print"/>
                    <a:srcRect/>
                    <a:stretch>
                      <a:fillRect/>
                    </a:stretch>
                  </pic:blipFill>
                  <pic:spPr>
                    <a:xfrm>
                      <a:off x="0" y="0"/>
                      <a:ext cx="1282700" cy="415925"/>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24"/>
          <w:sz w:val="18"/>
          <w:szCs w:val="18"/>
        </w:rPr>
        <w:drawing>
          <wp:inline distT="0" distB="0" distL="0" distR="0">
            <wp:extent cx="1282700" cy="415925"/>
            <wp:effectExtent l="0" t="0" r="12700" b="3175"/>
            <wp:docPr id="1045" name="Image1"/>
            <wp:cNvGraphicFramePr/>
            <a:graphic xmlns:a="http://schemas.openxmlformats.org/drawingml/2006/main">
              <a:graphicData uri="http://schemas.openxmlformats.org/drawingml/2006/picture">
                <pic:pic xmlns:pic="http://schemas.openxmlformats.org/drawingml/2006/picture">
                  <pic:nvPicPr>
                    <pic:cNvPr id="1045" name="Image1"/>
                    <pic:cNvPicPr/>
                  </pic:nvPicPr>
                  <pic:blipFill>
                    <a:blip r:embed="rId21" cstate="print"/>
                    <a:srcRect/>
                    <a:stretch>
                      <a:fillRect/>
                    </a:stretch>
                  </pic:blipFill>
                  <pic:spPr>
                    <a:xfrm>
                      <a:off x="0" y="0"/>
                      <a:ext cx="1282700" cy="415925"/>
                    </a:xfrm>
                    <a:prstGeom prst="rect">
                      <a:avLst/>
                    </a:prstGeom>
                    <a:ln>
                      <a:noFill/>
                    </a:ln>
                  </pic:spPr>
                </pic:pic>
              </a:graphicData>
            </a:graphic>
          </wp:inline>
        </w:drawing>
      </w:r>
      <w:r>
        <w:rPr>
          <w:rFonts w:cs="Times New Roman" w:asciiTheme="minorEastAsia" w:hAnsiTheme="minorEastAsia"/>
          <w:sz w:val="18"/>
          <w:szCs w:val="18"/>
        </w:rPr>
        <w:t>、</w:t>
      </w:r>
      <w:r>
        <w:rPr>
          <w:rFonts w:cs="Times New Roman" w:asciiTheme="minorEastAsia" w:hAnsiTheme="minorEastAsia"/>
          <w:position w:val="-24"/>
          <w:sz w:val="18"/>
          <w:szCs w:val="18"/>
        </w:rPr>
        <w:drawing>
          <wp:inline distT="0" distB="0" distL="0" distR="0">
            <wp:extent cx="1282700" cy="415925"/>
            <wp:effectExtent l="0" t="0" r="0" b="3175"/>
            <wp:docPr id="1046" name="Image1"/>
            <wp:cNvGraphicFramePr/>
            <a:graphic xmlns:a="http://schemas.openxmlformats.org/drawingml/2006/main">
              <a:graphicData uri="http://schemas.openxmlformats.org/drawingml/2006/picture">
                <pic:pic xmlns:pic="http://schemas.openxmlformats.org/drawingml/2006/picture">
                  <pic:nvPicPr>
                    <pic:cNvPr id="1046" name="Image1"/>
                    <pic:cNvPicPr/>
                  </pic:nvPicPr>
                  <pic:blipFill>
                    <a:blip r:embed="rId22" cstate="print"/>
                    <a:srcRect/>
                    <a:stretch>
                      <a:fillRect/>
                    </a:stretch>
                  </pic:blipFill>
                  <pic:spPr>
                    <a:xfrm>
                      <a:off x="0" y="0"/>
                      <a:ext cx="1282700" cy="415925"/>
                    </a:xfrm>
                    <a:prstGeom prst="rect">
                      <a:avLst/>
                    </a:prstGeom>
                    <a:ln>
                      <a:noFill/>
                    </a:ln>
                  </pic:spPr>
                </pic:pic>
              </a:graphicData>
            </a:graphic>
          </wp:inline>
        </w:drawing>
      </w:r>
      <w:r>
        <w:rPr>
          <w:rFonts w:cs="Times New Roman" w:asciiTheme="minorEastAsia" w:hAnsiTheme="minorEastAsia"/>
          <w:sz w:val="18"/>
          <w:szCs w:val="18"/>
        </w:rPr>
        <w:t>；</w:t>
      </w:r>
    </w:p>
    <w:p>
      <w:pPr>
        <w:numPr>
          <w:ilvl w:val="0"/>
          <w:numId w:val="20"/>
        </w:numPr>
        <w:rPr>
          <w:rFonts w:cs="Times New Roman" w:asciiTheme="minorEastAsia" w:hAnsiTheme="minorEastAsia"/>
          <w:sz w:val="18"/>
          <w:szCs w:val="18"/>
        </w:rPr>
      </w:pPr>
      <w:r>
        <w:rPr>
          <w:rFonts w:cs="Times New Roman" w:asciiTheme="minorEastAsia" w:hAnsiTheme="minorEastAsia"/>
          <w:sz w:val="18"/>
          <w:szCs w:val="18"/>
        </w:rPr>
        <w:t>相角数据：电压相角: A相0、B相240、C相120。</w:t>
      </w:r>
    </w:p>
    <w:p>
      <w:pPr>
        <w:rPr>
          <w:rFonts w:cs="Times New Roman" w:asciiTheme="minorEastAsia" w:hAnsiTheme="minorEastAsia"/>
          <w:sz w:val="18"/>
          <w:szCs w:val="18"/>
        </w:rPr>
      </w:pPr>
      <w:r>
        <w:rPr>
          <w:rFonts w:cs="Times New Roman" w:asciiTheme="minorEastAsia" w:hAnsiTheme="minorEastAsia"/>
          <w:sz w:val="18"/>
          <w:szCs w:val="18"/>
        </w:rPr>
        <w:t xml:space="preserve">              电流相角：</w:t>
      </w:r>
      <w:r>
        <w:rPr>
          <w:rFonts w:cs="Times New Roman" w:asciiTheme="minorEastAsia" w:hAnsiTheme="minorEastAsia"/>
          <w:position w:val="-12"/>
          <w:sz w:val="18"/>
          <w:szCs w:val="18"/>
        </w:rPr>
        <w:drawing>
          <wp:inline distT="0" distB="0" distL="0" distR="0">
            <wp:extent cx="1346200" cy="231140"/>
            <wp:effectExtent l="0" t="0" r="6350" b="17145"/>
            <wp:docPr id="1047" name="Image1"/>
            <wp:cNvGraphicFramePr/>
            <a:graphic xmlns:a="http://schemas.openxmlformats.org/drawingml/2006/main">
              <a:graphicData uri="http://schemas.openxmlformats.org/drawingml/2006/picture">
                <pic:pic xmlns:pic="http://schemas.openxmlformats.org/drawingml/2006/picture">
                  <pic:nvPicPr>
                    <pic:cNvPr id="1047" name="Image1"/>
                    <pic:cNvPicPr/>
                  </pic:nvPicPr>
                  <pic:blipFill>
                    <a:blip r:embed="rId23" cstate="print"/>
                    <a:srcRect/>
                    <a:stretch>
                      <a:fillRect/>
                    </a:stretch>
                  </pic:blipFill>
                  <pic:spPr>
                    <a:xfrm>
                      <a:off x="0" y="0"/>
                      <a:ext cx="1346200" cy="231140"/>
                    </a:xfrm>
                    <a:prstGeom prst="rect">
                      <a:avLst/>
                    </a:prstGeom>
                    <a:ln>
                      <a:noFill/>
                    </a:ln>
                  </pic:spPr>
                </pic:pic>
              </a:graphicData>
            </a:graphic>
          </wp:inline>
        </w:drawing>
      </w:r>
    </w:p>
    <w:p>
      <w:pPr>
        <w:ind w:left="1260" w:firstLine="420"/>
        <w:rPr>
          <w:rFonts w:cs="Times New Roman" w:asciiTheme="minorEastAsia" w:hAnsiTheme="minorEastAsia"/>
          <w:sz w:val="18"/>
          <w:szCs w:val="18"/>
        </w:rPr>
      </w:pPr>
      <w:r>
        <w:rPr>
          <w:rFonts w:cs="Times New Roman" w:asciiTheme="minorEastAsia" w:hAnsiTheme="minorEastAsia"/>
          <w:position w:val="-12"/>
          <w:sz w:val="18"/>
          <w:szCs w:val="18"/>
        </w:rPr>
        <w:drawing>
          <wp:inline distT="0" distB="0" distL="0" distR="0">
            <wp:extent cx="1755775" cy="231140"/>
            <wp:effectExtent l="0" t="0" r="15875" b="17145"/>
            <wp:docPr id="1048" name="Image1"/>
            <wp:cNvGraphicFramePr/>
            <a:graphic xmlns:a="http://schemas.openxmlformats.org/drawingml/2006/main">
              <a:graphicData uri="http://schemas.openxmlformats.org/drawingml/2006/picture">
                <pic:pic xmlns:pic="http://schemas.openxmlformats.org/drawingml/2006/picture">
                  <pic:nvPicPr>
                    <pic:cNvPr id="1048" name="Image1"/>
                    <pic:cNvPicPr/>
                  </pic:nvPicPr>
                  <pic:blipFill>
                    <a:blip r:embed="rId24" cstate="print"/>
                    <a:srcRect/>
                    <a:stretch>
                      <a:fillRect/>
                    </a:stretch>
                  </pic:blipFill>
                  <pic:spPr>
                    <a:xfrm>
                      <a:off x="0" y="0"/>
                      <a:ext cx="1755775" cy="231140"/>
                    </a:xfrm>
                    <a:prstGeom prst="rect">
                      <a:avLst/>
                    </a:prstGeom>
                    <a:ln>
                      <a:noFill/>
                    </a:ln>
                  </pic:spPr>
                </pic:pic>
              </a:graphicData>
            </a:graphic>
          </wp:inline>
        </w:drawing>
      </w:r>
    </w:p>
    <w:p>
      <w:pPr>
        <w:ind w:left="1260" w:firstLine="420"/>
        <w:rPr>
          <w:rFonts w:cs="Times New Roman" w:asciiTheme="minorEastAsia" w:hAnsiTheme="minorEastAsia"/>
          <w:sz w:val="18"/>
          <w:szCs w:val="18"/>
        </w:rPr>
      </w:pPr>
      <w:r>
        <w:rPr>
          <w:rFonts w:cs="Times New Roman" w:asciiTheme="minorEastAsia" w:hAnsiTheme="minorEastAsia"/>
          <w:position w:val="-12"/>
          <w:sz w:val="18"/>
          <w:szCs w:val="18"/>
        </w:rPr>
        <w:drawing>
          <wp:inline distT="0" distB="0" distL="0" distR="0">
            <wp:extent cx="1733550" cy="231140"/>
            <wp:effectExtent l="0" t="0" r="0" b="17145"/>
            <wp:docPr id="1049" name="Image1"/>
            <wp:cNvGraphicFramePr/>
            <a:graphic xmlns:a="http://schemas.openxmlformats.org/drawingml/2006/main">
              <a:graphicData uri="http://schemas.openxmlformats.org/drawingml/2006/picture">
                <pic:pic xmlns:pic="http://schemas.openxmlformats.org/drawingml/2006/picture">
                  <pic:nvPicPr>
                    <pic:cNvPr id="1049" name="Image1"/>
                    <pic:cNvPicPr/>
                  </pic:nvPicPr>
                  <pic:blipFill>
                    <a:blip r:embed="rId25" cstate="print"/>
                    <a:srcRect/>
                    <a:stretch>
                      <a:fillRect/>
                    </a:stretch>
                  </pic:blipFill>
                  <pic:spPr>
                    <a:xfrm>
                      <a:off x="0" y="0"/>
                      <a:ext cx="1733550" cy="231140"/>
                    </a:xfrm>
                    <a:prstGeom prst="rect">
                      <a:avLst/>
                    </a:prstGeom>
                    <a:ln>
                      <a:noFill/>
                    </a:ln>
                  </pic:spPr>
                </pic:pic>
              </a:graphicData>
            </a:graphic>
          </wp:inline>
        </w:drawing>
      </w:r>
    </w:p>
    <w:p>
      <w:pPr>
        <w:spacing w:line="300" w:lineRule="auto"/>
        <w:jc w:val="center"/>
        <w:rPr>
          <w:rFonts w:ascii="Times New Roman" w:hAnsi="Times New Roman" w:cs="Times New Roman"/>
          <w:szCs w:val="21"/>
        </w:rPr>
      </w:pPr>
      <w:r>
        <w:rPr>
          <w:rFonts w:ascii="Times New Roman" w:hAnsi="Times New Roman" w:cs="Times New Roman"/>
        </w:rPr>
        <w:drawing>
          <wp:inline distT="0" distB="0" distL="0" distR="0">
            <wp:extent cx="1751330" cy="1435735"/>
            <wp:effectExtent l="0" t="0" r="0" b="12065"/>
            <wp:docPr id="1050" name="图片 1289"/>
            <wp:cNvGraphicFramePr/>
            <a:graphic xmlns:a="http://schemas.openxmlformats.org/drawingml/2006/main">
              <a:graphicData uri="http://schemas.openxmlformats.org/drawingml/2006/picture">
                <pic:pic xmlns:pic="http://schemas.openxmlformats.org/drawingml/2006/picture">
                  <pic:nvPicPr>
                    <pic:cNvPr id="1050" name="图片 1289"/>
                    <pic:cNvPicPr/>
                  </pic:nvPicPr>
                  <pic:blipFill>
                    <a:blip r:embed="rId26" cstate="print"/>
                    <a:srcRect/>
                    <a:stretch>
                      <a:fillRect/>
                    </a:stretch>
                  </pic:blipFill>
                  <pic:spPr>
                    <a:xfrm>
                      <a:off x="0" y="0"/>
                      <a:ext cx="1751330" cy="1435735"/>
                    </a:xfrm>
                    <a:prstGeom prst="rect">
                      <a:avLst/>
                    </a:prstGeom>
                    <a:ln>
                      <a:noFill/>
                    </a:ln>
                  </pic:spPr>
                </pic:pic>
              </a:graphicData>
            </a:graphic>
          </wp:inline>
        </w:drawing>
      </w:r>
    </w:p>
    <w:p>
      <w:pPr>
        <w:spacing w:line="300" w:lineRule="auto"/>
        <w:jc w:val="center"/>
        <w:rPr>
          <w:rFonts w:ascii="Times New Roman" w:hAnsi="Times New Roman" w:cs="Times New Roman"/>
          <w:sz w:val="18"/>
          <w:szCs w:val="18"/>
        </w:rPr>
      </w:pPr>
      <w:r>
        <w:rPr>
          <w:rFonts w:ascii="Times New Roman" w:hAnsi="Times New Roman" w:cs="Times New Roman"/>
          <w:sz w:val="18"/>
          <w:szCs w:val="18"/>
        </w:rPr>
        <w:t>三相交流电相量图</w:t>
      </w:r>
    </w:p>
    <w:p>
      <w:pPr>
        <w:pStyle w:val="115"/>
        <w:numPr>
          <w:ilvl w:val="0"/>
          <w:numId w:val="0"/>
        </w:numPr>
        <w:tabs>
          <w:tab w:val="left" w:pos="360"/>
        </w:tabs>
        <w:rPr>
          <w:szCs w:val="21"/>
        </w:rPr>
      </w:pPr>
      <w:bookmarkStart w:id="38" w:name="_Toc5172505"/>
      <w:r>
        <w:rPr>
          <w:rFonts w:hint="eastAsia" w:cs="Tahoma"/>
          <w:color w:val="000000"/>
          <w:szCs w:val="21"/>
        </w:rPr>
        <w:t>附录G</w:t>
      </w:r>
      <w:r>
        <w:rPr>
          <w:rFonts w:cs="Tahoma"/>
          <w:color w:val="000000"/>
          <w:szCs w:val="21"/>
        </w:rPr>
        <w:t xml:space="preserve">  </w:t>
      </w:r>
      <w:r>
        <w:rPr>
          <w:rFonts w:hint="eastAsia" w:cs="Tahoma"/>
          <w:color w:val="000000"/>
          <w:szCs w:val="21"/>
        </w:rPr>
        <w:t>污染治理设施用电监管</w:t>
      </w:r>
      <w:r>
        <w:rPr>
          <w:rFonts w:hint="eastAsia"/>
          <w:szCs w:val="21"/>
        </w:rPr>
        <w:t>系统验收意见表</w:t>
      </w:r>
      <w:bookmarkEnd w:id="38"/>
    </w:p>
    <w:tbl>
      <w:tblPr>
        <w:tblStyle w:val="42"/>
        <w:tblW w:w="83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7"/>
        <w:gridCol w:w="77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64" w:hRule="atLeast"/>
        </w:trPr>
        <w:tc>
          <w:tcPr>
            <w:tcW w:w="597" w:type="dxa"/>
          </w:tcPr>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r>
              <w:rPr>
                <w:rFonts w:hint="eastAsia" w:ascii="宋体" w:hAnsi="Times New Roman" w:cs="Times New Roman"/>
                <w:kern w:val="0"/>
                <w:sz w:val="18"/>
                <w:szCs w:val="18"/>
              </w:rPr>
              <w:t>验</w:t>
            </w: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r>
              <w:rPr>
                <w:rFonts w:hint="eastAsia" w:ascii="宋体" w:hAnsi="Times New Roman" w:cs="Times New Roman"/>
                <w:kern w:val="0"/>
                <w:sz w:val="18"/>
                <w:szCs w:val="18"/>
              </w:rPr>
              <w:t>收</w:t>
            </w: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r>
              <w:rPr>
                <w:rFonts w:hint="eastAsia" w:ascii="宋体" w:hAnsi="Times New Roman" w:cs="Times New Roman"/>
                <w:kern w:val="0"/>
                <w:sz w:val="18"/>
                <w:szCs w:val="18"/>
              </w:rPr>
              <w:t>意</w:t>
            </w: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p>
          <w:p>
            <w:pPr>
              <w:jc w:val="center"/>
              <w:rPr>
                <w:rFonts w:ascii="宋体" w:hAnsi="Times New Roman" w:cs="Times New Roman"/>
                <w:kern w:val="0"/>
                <w:sz w:val="18"/>
                <w:szCs w:val="18"/>
              </w:rPr>
            </w:pPr>
            <w:r>
              <w:rPr>
                <w:rFonts w:hint="eastAsia" w:ascii="宋体" w:hAnsi="Times New Roman" w:cs="Times New Roman"/>
                <w:kern w:val="0"/>
                <w:sz w:val="18"/>
                <w:szCs w:val="18"/>
              </w:rPr>
              <w:t>见</w:t>
            </w:r>
          </w:p>
        </w:tc>
        <w:tc>
          <w:tcPr>
            <w:tcW w:w="7733" w:type="dxa"/>
          </w:tcPr>
          <w:p>
            <w:pPr>
              <w:spacing w:line="360" w:lineRule="auto"/>
              <w:rPr>
                <w:rFonts w:ascii="宋体" w:hAnsi="Times New Roman" w:cs="Times New Roman"/>
                <w:kern w:val="0"/>
                <w:sz w:val="18"/>
                <w:szCs w:val="18"/>
                <w:u w:val="single"/>
              </w:rPr>
            </w:pPr>
            <w:r>
              <w:rPr>
                <w:rFonts w:hint="eastAsia" w:ascii="宋体" w:hAnsi="Times New Roman" w:cs="Times New Roman"/>
                <w:kern w:val="0"/>
                <w:sz w:val="18"/>
                <w:szCs w:val="18"/>
              </w:rPr>
              <w:t>　　</w:t>
            </w:r>
            <w:r>
              <w:rPr>
                <w:rFonts w:hint="eastAsia" w:ascii="宋体" w:hAnsi="Times New Roman" w:cs="Times New Roman"/>
                <w:kern w:val="0"/>
                <w:sz w:val="18"/>
                <w:szCs w:val="18"/>
                <w:u w:val="single"/>
              </w:rPr>
              <w:t>　　</w:t>
            </w:r>
            <w:r>
              <w:rPr>
                <w:rFonts w:hint="eastAsia" w:ascii="宋体" w:hAnsi="Times New Roman" w:cs="Times New Roman"/>
                <w:kern w:val="0"/>
                <w:sz w:val="18"/>
                <w:szCs w:val="18"/>
              </w:rPr>
              <w:t>年</w:t>
            </w:r>
            <w:r>
              <w:rPr>
                <w:rFonts w:hint="eastAsia" w:ascii="宋体" w:hAnsi="Times New Roman" w:cs="Times New Roman"/>
                <w:kern w:val="0"/>
                <w:sz w:val="18"/>
                <w:szCs w:val="18"/>
                <w:u w:val="single"/>
              </w:rPr>
              <w:t>　</w:t>
            </w:r>
            <w:r>
              <w:rPr>
                <w:rFonts w:hint="eastAsia" w:ascii="宋体" w:hAnsi="Times New Roman" w:cs="Times New Roman"/>
                <w:kern w:val="0"/>
                <w:sz w:val="18"/>
                <w:szCs w:val="18"/>
              </w:rPr>
              <w:t>月</w:t>
            </w:r>
            <w:r>
              <w:rPr>
                <w:rFonts w:hint="eastAsia" w:ascii="宋体" w:hAnsi="Times New Roman" w:cs="Times New Roman"/>
                <w:kern w:val="0"/>
                <w:sz w:val="18"/>
                <w:szCs w:val="18"/>
                <w:u w:val="single"/>
              </w:rPr>
              <w:t>　</w:t>
            </w:r>
            <w:r>
              <w:rPr>
                <w:rFonts w:hint="eastAsia" w:ascii="宋体" w:hAnsi="Times New Roman" w:cs="Times New Roman"/>
                <w:kern w:val="0"/>
                <w:sz w:val="18"/>
                <w:szCs w:val="18"/>
              </w:rPr>
              <w:t>日，（排污单位：）</w:t>
            </w:r>
            <w:r>
              <w:rPr>
                <w:rFonts w:hint="eastAsia" w:ascii="宋体" w:hAnsi="Times New Roman" w:cs="Times New Roman"/>
                <w:kern w:val="0"/>
                <w:sz w:val="18"/>
                <w:szCs w:val="18"/>
                <w:u w:val="single"/>
              </w:rPr>
              <w:t xml:space="preserve">                     　　　</w:t>
            </w:r>
            <w:r>
              <w:rPr>
                <w:rFonts w:hint="eastAsia" w:ascii="宋体" w:hAnsi="Times New Roman" w:cs="Times New Roman"/>
                <w:kern w:val="0"/>
                <w:sz w:val="18"/>
                <w:szCs w:val="18"/>
              </w:rPr>
              <w:t>组织对（用电监管安装单位：）</w:t>
            </w:r>
            <w:r>
              <w:rPr>
                <w:rFonts w:hint="eastAsia" w:ascii="宋体" w:hAnsi="Times New Roman" w:cs="Times New Roman"/>
                <w:kern w:val="0"/>
                <w:sz w:val="18"/>
                <w:szCs w:val="18"/>
                <w:u w:val="single"/>
              </w:rPr>
              <w:t>　　　　　　                 　　　</w:t>
            </w:r>
            <w:r>
              <w:rPr>
                <w:rFonts w:hint="eastAsia" w:ascii="宋体" w:hAnsi="Times New Roman" w:cs="Times New Roman"/>
                <w:kern w:val="0"/>
                <w:sz w:val="18"/>
                <w:szCs w:val="18"/>
              </w:rPr>
              <w:t>负责安装的污染治理设施用电监管系统进行验收。验收组成员包括</w:t>
            </w:r>
            <w:r>
              <w:rPr>
                <w:rFonts w:hint="eastAsia" w:ascii="宋体" w:hAnsi="Times New Roman" w:cs="Times New Roman"/>
                <w:kern w:val="0"/>
                <w:sz w:val="18"/>
                <w:szCs w:val="18"/>
                <w:u w:val="single"/>
              </w:rPr>
              <w:t>　　　　　、        及          （至少三人）。</w:t>
            </w:r>
            <w:r>
              <w:rPr>
                <w:rFonts w:hint="eastAsia" w:ascii="宋体" w:hAnsi="Times New Roman" w:cs="Times New Roman"/>
                <w:kern w:val="0"/>
                <w:sz w:val="18"/>
                <w:szCs w:val="18"/>
              </w:rPr>
              <w:t>验收小组审查了该项目的《污染治理设施用电监管点位信息表》、《排污许可</w:t>
            </w:r>
            <w:r>
              <w:rPr>
                <w:rFonts w:hint="eastAsia" w:ascii="宋体" w:hAnsi="宋体" w:cs="宋体"/>
                <w:color w:val="000000"/>
                <w:kern w:val="0"/>
                <w:sz w:val="18"/>
                <w:szCs w:val="18"/>
              </w:rPr>
              <w:t>证</w:t>
            </w:r>
            <w:r>
              <w:rPr>
                <w:rFonts w:hint="eastAsia" w:ascii="宋体" w:hAnsi="Times New Roman" w:cs="Times New Roman"/>
                <w:kern w:val="0"/>
                <w:sz w:val="18"/>
                <w:szCs w:val="18"/>
              </w:rPr>
              <w:t>（副本）》及相关台账资料，并现场勘查了设备安装、数据传输及设备数据匹配状况。经讨论形成如下验收意见：</w:t>
            </w:r>
          </w:p>
          <w:p>
            <w:pPr>
              <w:pStyle w:val="67"/>
              <w:numPr>
                <w:ilvl w:val="0"/>
                <w:numId w:val="21"/>
              </w:numPr>
              <w:spacing w:line="360" w:lineRule="auto"/>
              <w:ind w:left="357" w:firstLine="360"/>
              <w:rPr>
                <w:rFonts w:ascii="宋体" w:hAnsi="Times New Roman" w:eastAsia="宋体" w:cs="Times New Roman"/>
                <w:kern w:val="0"/>
                <w:sz w:val="18"/>
                <w:szCs w:val="18"/>
              </w:rPr>
            </w:pPr>
            <w:r>
              <w:rPr>
                <w:rFonts w:hint="eastAsia" w:ascii="宋体" w:hAnsi="Times New Roman" w:eastAsia="宋体" w:cs="Times New Roman"/>
                <w:kern w:val="0"/>
                <w:sz w:val="18"/>
                <w:szCs w:val="18"/>
              </w:rPr>
              <w:t>（是否符合建设规范）;</w:t>
            </w:r>
          </w:p>
          <w:p>
            <w:pPr>
              <w:pStyle w:val="67"/>
              <w:numPr>
                <w:ilvl w:val="0"/>
                <w:numId w:val="21"/>
              </w:numPr>
              <w:spacing w:line="360" w:lineRule="auto"/>
              <w:ind w:left="357" w:firstLine="360"/>
              <w:rPr>
                <w:rFonts w:ascii="宋体" w:hAnsi="Times New Roman" w:eastAsia="宋体" w:cs="Times New Roman"/>
                <w:kern w:val="0"/>
                <w:sz w:val="18"/>
                <w:szCs w:val="18"/>
              </w:rPr>
            </w:pPr>
            <w:r>
              <w:rPr>
                <w:rFonts w:hint="eastAsia" w:ascii="宋体" w:hAnsi="Times New Roman" w:eastAsia="宋体" w:cs="Times New Roman"/>
                <w:kern w:val="0"/>
                <w:sz w:val="18"/>
                <w:szCs w:val="18"/>
              </w:rPr>
              <w:t>（点位选取是否覆盖所有产污工序及治污工艺）;</w:t>
            </w:r>
          </w:p>
          <w:p>
            <w:pPr>
              <w:pStyle w:val="67"/>
              <w:numPr>
                <w:ilvl w:val="0"/>
                <w:numId w:val="21"/>
              </w:numPr>
              <w:spacing w:line="360" w:lineRule="auto"/>
              <w:ind w:left="357" w:firstLine="360"/>
              <w:rPr>
                <w:rFonts w:ascii="宋体" w:hAnsi="Times New Roman" w:eastAsia="宋体" w:cs="Times New Roman"/>
                <w:kern w:val="0"/>
                <w:sz w:val="18"/>
                <w:szCs w:val="18"/>
              </w:rPr>
            </w:pPr>
            <w:r>
              <w:rPr>
                <w:rFonts w:hint="eastAsia" w:ascii="宋体" w:hAnsi="Times New Roman" w:eastAsia="宋体" w:cs="Times New Roman"/>
                <w:kern w:val="0"/>
                <w:sz w:val="18"/>
                <w:szCs w:val="18"/>
              </w:rPr>
              <w:t>（产污、治污、排污匹配是否符合实际情况）;</w:t>
            </w:r>
          </w:p>
          <w:p>
            <w:pPr>
              <w:pStyle w:val="67"/>
              <w:numPr>
                <w:ilvl w:val="0"/>
                <w:numId w:val="21"/>
              </w:numPr>
              <w:spacing w:line="360" w:lineRule="auto"/>
              <w:ind w:left="357" w:firstLine="360"/>
              <w:rPr>
                <w:rFonts w:ascii="宋体" w:hAnsi="Times New Roman" w:eastAsia="宋体" w:cs="Times New Roman"/>
                <w:kern w:val="0"/>
                <w:sz w:val="18"/>
                <w:szCs w:val="18"/>
              </w:rPr>
            </w:pPr>
            <w:r>
              <w:rPr>
                <w:rFonts w:hint="eastAsia" w:ascii="宋体" w:hAnsi="Times New Roman" w:eastAsia="宋体" w:cs="Times New Roman"/>
                <w:kern w:val="0"/>
                <w:sz w:val="18"/>
                <w:szCs w:val="18"/>
              </w:rPr>
              <w:t>（是否满足全工况/过程监管要求）。</w:t>
            </w:r>
          </w:p>
          <w:p>
            <w:pPr>
              <w:pStyle w:val="67"/>
              <w:spacing w:line="360" w:lineRule="auto"/>
              <w:ind w:left="357" w:firstLine="360"/>
              <w:rPr>
                <w:rFonts w:ascii="宋体" w:hAnsi="Times New Roman" w:eastAsia="宋体" w:cs="Times New Roman"/>
                <w:kern w:val="0"/>
                <w:sz w:val="18"/>
                <w:szCs w:val="18"/>
              </w:rPr>
            </w:pPr>
            <w:r>
              <w:rPr>
                <w:rFonts w:hint="eastAsia" w:ascii="宋体" w:hAnsi="Times New Roman" w:eastAsia="宋体" w:cs="Times New Roman"/>
                <w:kern w:val="0"/>
                <w:sz w:val="18"/>
                <w:szCs w:val="18"/>
              </w:rPr>
              <w:t>终上所述，验收小组（同意/不同意）</w:t>
            </w:r>
            <w:r>
              <w:rPr>
                <w:rFonts w:hint="eastAsia" w:ascii="宋体" w:hAnsi="Times New Roman" w:eastAsia="宋体" w:cs="Times New Roman"/>
                <w:kern w:val="0"/>
                <w:sz w:val="18"/>
                <w:szCs w:val="18"/>
                <w:u w:val="single"/>
              </w:rPr>
              <w:t xml:space="preserve">　　　　　　　　　  </w:t>
            </w:r>
            <w:r>
              <w:rPr>
                <w:rFonts w:hint="eastAsia" w:ascii="宋体" w:hAnsi="Times New Roman" w:eastAsia="宋体" w:cs="Times New Roman"/>
                <w:kern w:val="0"/>
                <w:sz w:val="18"/>
                <w:szCs w:val="18"/>
              </w:rPr>
              <w:t>（单位）污染治理设施用电监管系统通过验收，并提出以下意见：</w:t>
            </w: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pStyle w:val="67"/>
              <w:ind w:left="360" w:firstLine="0" w:firstLineChars="0"/>
              <w:rPr>
                <w:rFonts w:ascii="宋体" w:hAnsi="Times New Roman" w:eastAsia="宋体" w:cs="Times New Roman"/>
                <w:kern w:val="0"/>
                <w:sz w:val="18"/>
                <w:szCs w:val="18"/>
              </w:rPr>
            </w:pPr>
          </w:p>
          <w:p>
            <w:pPr>
              <w:rPr>
                <w:rFonts w:ascii="宋体" w:hAnsi="Times New Roman" w:cs="Times New Roman"/>
                <w:kern w:val="0"/>
                <w:sz w:val="18"/>
                <w:szCs w:val="1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00" w:hRule="atLeast"/>
        </w:trPr>
        <w:tc>
          <w:tcPr>
            <w:tcW w:w="597" w:type="dxa"/>
          </w:tcPr>
          <w:p>
            <w:pPr>
              <w:rPr>
                <w:rFonts w:ascii="宋体" w:hAnsi="Times New Roman" w:cs="Times New Roman"/>
                <w:kern w:val="0"/>
                <w:sz w:val="18"/>
                <w:szCs w:val="18"/>
              </w:rPr>
            </w:pPr>
          </w:p>
          <w:p>
            <w:pPr>
              <w:rPr>
                <w:rFonts w:ascii="宋体" w:hAnsi="Times New Roman" w:cs="Times New Roman"/>
                <w:kern w:val="0"/>
                <w:sz w:val="18"/>
                <w:szCs w:val="18"/>
              </w:rPr>
            </w:pPr>
            <w:r>
              <w:rPr>
                <w:rFonts w:hint="eastAsia" w:ascii="宋体" w:hAnsi="Times New Roman" w:cs="Times New Roman"/>
                <w:kern w:val="0"/>
                <w:sz w:val="18"/>
                <w:szCs w:val="18"/>
              </w:rPr>
              <w:t>验</w:t>
            </w:r>
          </w:p>
          <w:p>
            <w:pPr>
              <w:rPr>
                <w:rFonts w:ascii="宋体" w:hAnsi="Times New Roman" w:cs="Times New Roman"/>
                <w:kern w:val="0"/>
                <w:sz w:val="18"/>
                <w:szCs w:val="18"/>
              </w:rPr>
            </w:pPr>
            <w:r>
              <w:rPr>
                <w:rFonts w:hint="eastAsia" w:ascii="宋体" w:hAnsi="Times New Roman" w:cs="Times New Roman"/>
                <w:kern w:val="0"/>
                <w:sz w:val="18"/>
                <w:szCs w:val="18"/>
              </w:rPr>
              <w:t>收</w:t>
            </w:r>
          </w:p>
          <w:p>
            <w:pPr>
              <w:rPr>
                <w:rFonts w:ascii="宋体" w:hAnsi="Times New Roman" w:cs="Times New Roman"/>
                <w:kern w:val="0"/>
                <w:sz w:val="18"/>
                <w:szCs w:val="18"/>
              </w:rPr>
            </w:pPr>
            <w:r>
              <w:rPr>
                <w:rFonts w:hint="eastAsia" w:ascii="宋体" w:hAnsi="Times New Roman" w:cs="Times New Roman"/>
                <w:kern w:val="0"/>
                <w:sz w:val="18"/>
                <w:szCs w:val="18"/>
              </w:rPr>
              <w:t>小</w:t>
            </w:r>
          </w:p>
          <w:p>
            <w:pPr>
              <w:rPr>
                <w:rFonts w:ascii="宋体" w:hAnsi="Times New Roman" w:cs="Times New Roman"/>
                <w:kern w:val="0"/>
                <w:sz w:val="18"/>
                <w:szCs w:val="18"/>
              </w:rPr>
            </w:pPr>
            <w:r>
              <w:rPr>
                <w:rFonts w:hint="eastAsia" w:ascii="宋体" w:hAnsi="Times New Roman" w:cs="Times New Roman"/>
                <w:kern w:val="0"/>
                <w:sz w:val="18"/>
                <w:szCs w:val="18"/>
              </w:rPr>
              <w:t>组</w:t>
            </w:r>
          </w:p>
          <w:p>
            <w:pPr>
              <w:rPr>
                <w:rFonts w:ascii="宋体" w:hAnsi="Times New Roman" w:cs="Times New Roman"/>
                <w:kern w:val="0"/>
                <w:sz w:val="18"/>
                <w:szCs w:val="18"/>
              </w:rPr>
            </w:pPr>
            <w:r>
              <w:rPr>
                <w:rFonts w:hint="eastAsia" w:ascii="宋体" w:hAnsi="Times New Roman" w:cs="Times New Roman"/>
                <w:kern w:val="0"/>
                <w:sz w:val="18"/>
                <w:szCs w:val="18"/>
              </w:rPr>
              <w:t>成</w:t>
            </w:r>
          </w:p>
          <w:p>
            <w:pPr>
              <w:rPr>
                <w:rFonts w:ascii="宋体" w:hAnsi="Times New Roman" w:cs="Times New Roman"/>
                <w:kern w:val="0"/>
                <w:sz w:val="18"/>
                <w:szCs w:val="18"/>
              </w:rPr>
            </w:pPr>
            <w:r>
              <w:rPr>
                <w:rFonts w:hint="eastAsia" w:ascii="宋体" w:hAnsi="Times New Roman" w:cs="Times New Roman"/>
                <w:kern w:val="0"/>
                <w:sz w:val="18"/>
                <w:szCs w:val="18"/>
              </w:rPr>
              <w:t>员</w:t>
            </w:r>
          </w:p>
        </w:tc>
        <w:tc>
          <w:tcPr>
            <w:tcW w:w="7733" w:type="dxa"/>
          </w:tcPr>
          <w:p>
            <w:pPr>
              <w:spacing w:line="360" w:lineRule="auto"/>
              <w:rPr>
                <w:rFonts w:ascii="宋体" w:hAnsi="Times New Roman" w:cs="Times New Roman"/>
                <w:kern w:val="0"/>
                <w:sz w:val="18"/>
                <w:szCs w:val="18"/>
              </w:rPr>
            </w:pPr>
          </w:p>
          <w:p>
            <w:pPr>
              <w:spacing w:line="360" w:lineRule="auto"/>
              <w:rPr>
                <w:rFonts w:ascii="宋体" w:hAnsi="Times New Roman" w:cs="Times New Roman"/>
                <w:kern w:val="0"/>
                <w:sz w:val="18"/>
                <w:szCs w:val="18"/>
              </w:rPr>
            </w:pPr>
            <w:r>
              <w:rPr>
                <w:rFonts w:hint="eastAsia" w:ascii="宋体" w:hAnsi="Times New Roman" w:cs="Times New Roman"/>
                <w:kern w:val="0"/>
                <w:sz w:val="18"/>
                <w:szCs w:val="18"/>
              </w:rPr>
              <w:t>验收单位：（企业名称）（公章）</w:t>
            </w:r>
          </w:p>
          <w:p>
            <w:pPr>
              <w:spacing w:line="360" w:lineRule="auto"/>
              <w:rPr>
                <w:rFonts w:ascii="宋体" w:hAnsi="Times New Roman" w:cs="Times New Roman"/>
                <w:kern w:val="0"/>
                <w:sz w:val="18"/>
                <w:szCs w:val="18"/>
              </w:rPr>
            </w:pPr>
            <w:r>
              <w:rPr>
                <w:rFonts w:hint="eastAsia" w:ascii="宋体" w:hAnsi="Times New Roman" w:cs="Times New Roman"/>
                <w:kern w:val="0"/>
                <w:sz w:val="18"/>
                <w:szCs w:val="18"/>
              </w:rPr>
              <w:t>验收小组负责人： （签字）</w:t>
            </w:r>
          </w:p>
          <w:p>
            <w:pPr>
              <w:spacing w:line="360" w:lineRule="auto"/>
              <w:rPr>
                <w:rFonts w:ascii="宋体" w:hAnsi="Times New Roman" w:cs="Times New Roman"/>
                <w:kern w:val="0"/>
                <w:sz w:val="18"/>
                <w:szCs w:val="18"/>
              </w:rPr>
            </w:pPr>
            <w:r>
              <w:rPr>
                <w:rFonts w:hint="eastAsia" w:ascii="宋体" w:hAnsi="Times New Roman" w:cs="Times New Roman"/>
                <w:kern w:val="0"/>
                <w:sz w:val="18"/>
                <w:szCs w:val="18"/>
              </w:rPr>
              <w:t>验收小组成员：  （签字）</w:t>
            </w:r>
          </w:p>
          <w:p>
            <w:pPr>
              <w:rPr>
                <w:rFonts w:ascii="宋体" w:hAnsi="Times New Roman" w:cs="Times New Roman"/>
                <w:kern w:val="0"/>
                <w:sz w:val="18"/>
                <w:szCs w:val="18"/>
              </w:rPr>
            </w:pPr>
          </w:p>
          <w:p>
            <w:pPr>
              <w:rPr>
                <w:rFonts w:ascii="宋体" w:hAnsi="Times New Roman" w:cs="Times New Roman"/>
                <w:kern w:val="0"/>
                <w:sz w:val="18"/>
                <w:szCs w:val="18"/>
              </w:rPr>
            </w:pPr>
          </w:p>
          <w:p>
            <w:pPr>
              <w:rPr>
                <w:rFonts w:ascii="宋体" w:hAnsi="Times New Roman" w:cs="Times New Roman"/>
                <w:kern w:val="0"/>
                <w:sz w:val="18"/>
                <w:szCs w:val="18"/>
              </w:rPr>
            </w:pPr>
          </w:p>
          <w:p>
            <w:pPr>
              <w:ind w:right="420" w:rightChars="200"/>
              <w:jc w:val="right"/>
              <w:rPr>
                <w:rFonts w:ascii="宋体" w:hAnsi="Times New Roman" w:cs="Times New Roman"/>
                <w:kern w:val="0"/>
                <w:sz w:val="18"/>
                <w:szCs w:val="18"/>
              </w:rPr>
            </w:pPr>
            <w:r>
              <w:rPr>
                <w:rFonts w:hint="eastAsia" w:ascii="宋体" w:hAnsi="Times New Roman" w:cs="Times New Roman"/>
                <w:kern w:val="0"/>
                <w:sz w:val="18"/>
                <w:szCs w:val="18"/>
              </w:rPr>
              <w:t xml:space="preserve">  年   月   日</w:t>
            </w:r>
          </w:p>
        </w:tc>
      </w:tr>
    </w:tbl>
    <w:p>
      <w:pPr>
        <w:pStyle w:val="115"/>
        <w:numPr>
          <w:ilvl w:val="0"/>
          <w:numId w:val="0"/>
        </w:numPr>
        <w:tabs>
          <w:tab w:val="left" w:pos="360"/>
        </w:tabs>
        <w:jc w:val="both"/>
        <w:rPr>
          <w:rFonts w:ascii="Times New Roman"/>
          <w:sz w:val="18"/>
          <w:szCs w:val="18"/>
        </w:rPr>
      </w:pPr>
    </w:p>
    <w:sectPr>
      <w:footerReference r:id="rId3" w:type="default"/>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GPPD L+ Melior">
    <w:altName w:val="宋体"/>
    <w:panose1 w:val="00000000000000000000"/>
    <w:charset w:val="86"/>
    <w:family w:val="roman"/>
    <w:pitch w:val="default"/>
    <w:sig w:usb0="00000000" w:usb1="00000000" w:usb2="00000010" w:usb3="00000000" w:csb0="00040000" w:csb1="00000000"/>
  </w:font>
  <w:font w:name="Book Antiqua">
    <w:altName w:val="Segoe Print"/>
    <w:panose1 w:val="02040602050305030304"/>
    <w:charset w:val="00"/>
    <w:family w:val="roman"/>
    <w:pitch w:val="default"/>
    <w:sig w:usb0="00000000" w:usb1="00000000" w:usb2="00000000" w:usb3="00000000" w:csb0="000000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fldChar w:fldCharType="begin"/>
    </w:r>
    <w:r>
      <w:instrText xml:space="preserve">PAGE   \* MERGEFORMAT</w:instrText>
    </w:r>
    <w:r>
      <w:fldChar w:fldCharType="separate"/>
    </w:r>
    <w:r>
      <w:rPr>
        <w:lang w:val="zh-CN"/>
      </w:rPr>
      <w:t>2</w:t>
    </w:r>
    <w:r>
      <w:fldChar w:fldCharType="end"/>
    </w:r>
  </w:p>
  <w:p>
    <w:pPr>
      <w:pStyle w:val="2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bullet"/>
      <w:lvlText w:val=""/>
      <w:lvlJc w:val="left"/>
      <w:pPr>
        <w:ind w:left="420" w:hanging="420"/>
      </w:pPr>
      <w:rPr>
        <w:rFonts w:hint="default" w:ascii="Wingdings" w:hAnsi="Wingdings"/>
      </w:rPr>
    </w:lvl>
  </w:abstractNum>
  <w:abstractNum w:abstractNumId="1">
    <w:nsid w:val="079102AD"/>
    <w:multiLevelType w:val="multilevel"/>
    <w:tmpl w:val="079102AD"/>
    <w:lvl w:ilvl="0" w:tentative="0">
      <w:start w:val="1"/>
      <w:numFmt w:val="decimal"/>
      <w:pStyle w:val="89"/>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14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8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5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9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i w:val="0"/>
        <w:sz w:val="28"/>
        <w:szCs w:val="28"/>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82"/>
      <w:suff w:val="nothing"/>
      <w:lvlText w:val="%1.%2.%3.%4　"/>
      <w:lvlJc w:val="left"/>
      <w:pPr>
        <w:ind w:left="0" w:firstLine="0"/>
      </w:pPr>
      <w:rPr>
        <w:rFonts w:hint="eastAsia" w:ascii="黑体" w:hAnsi="Times New Roman" w:eastAsia="黑体"/>
        <w:b w:val="0"/>
        <w:i w:val="0"/>
        <w:sz w:val="21"/>
      </w:rPr>
    </w:lvl>
    <w:lvl w:ilvl="4" w:tentative="0">
      <w:start w:val="1"/>
      <w:numFmt w:val="decimal"/>
      <w:pStyle w:val="86"/>
      <w:suff w:val="nothing"/>
      <w:lvlText w:val="%1.%2.%3.%4.%5　"/>
      <w:lvlJc w:val="left"/>
      <w:pPr>
        <w:ind w:left="0" w:firstLine="0"/>
      </w:pPr>
      <w:rPr>
        <w:rFonts w:hint="eastAsia" w:ascii="黑体" w:hAnsi="Times New Roman" w:eastAsia="黑体"/>
        <w:b w:val="0"/>
        <w:i w:val="0"/>
        <w:sz w:val="21"/>
      </w:rPr>
    </w:lvl>
    <w:lvl w:ilvl="5" w:tentative="0">
      <w:start w:val="1"/>
      <w:numFmt w:val="decimal"/>
      <w:pStyle w:val="8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0" w:firstLine="0"/>
      </w:pPr>
      <w:rPr>
        <w:rFonts w:hint="eastAsia"/>
      </w:rPr>
    </w:lvl>
    <w:lvl w:ilvl="8" w:tentative="0">
      <w:start w:val="1"/>
      <w:numFmt w:val="decimal"/>
      <w:lvlText w:val="%1.%2.%3.%4.%5.%6.%7.%8.%9"/>
      <w:lvlJc w:val="left"/>
      <w:pPr>
        <w:tabs>
          <w:tab w:val="left" w:pos="4777"/>
        </w:tabs>
        <w:ind w:left="0" w:firstLine="0"/>
      </w:pPr>
      <w:rPr>
        <w:rFonts w:hint="eastAsia"/>
      </w:rPr>
    </w:lvl>
  </w:abstractNum>
  <w:abstractNum w:abstractNumId="7">
    <w:nsid w:val="2A8F7113"/>
    <w:multiLevelType w:val="multilevel"/>
    <w:tmpl w:val="2A8F7113"/>
    <w:lvl w:ilvl="0" w:tentative="0">
      <w:start w:val="1"/>
      <w:numFmt w:val="upperLetter"/>
      <w:pStyle w:val="129"/>
      <w:suff w:val="space"/>
      <w:lvlText w:val="%1"/>
      <w:lvlJc w:val="left"/>
      <w:pPr>
        <w:ind w:left="623" w:hanging="425"/>
      </w:pPr>
      <w:rPr>
        <w:rFonts w:hint="eastAsia"/>
      </w:rPr>
    </w:lvl>
    <w:lvl w:ilvl="1" w:tentative="0">
      <w:start w:val="1"/>
      <w:numFmt w:val="decimal"/>
      <w:pStyle w:val="13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79"/>
      <w:suff w:val="nothing"/>
      <w:lvlText w:val="%1——"/>
      <w:lvlJc w:val="left"/>
      <w:pPr>
        <w:ind w:left="833" w:hanging="408"/>
      </w:pPr>
      <w:rPr>
        <w:rFonts w:hint="eastAsia"/>
        <w:b w:val="0"/>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pStyle w:val="9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31"/>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9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8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48466F66"/>
    <w:multiLevelType w:val="multilevel"/>
    <w:tmpl w:val="48466F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B733A5F"/>
    <w:multiLevelType w:val="multilevel"/>
    <w:tmpl w:val="4B733A5F"/>
    <w:lvl w:ilvl="0" w:tentative="0">
      <w:start w:val="1"/>
      <w:numFmt w:val="decimal"/>
      <w:pStyle w:val="9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557C2AF5"/>
    <w:multiLevelType w:val="multilevel"/>
    <w:tmpl w:val="557C2AF5"/>
    <w:lvl w:ilvl="0" w:tentative="0">
      <w:start w:val="1"/>
      <w:numFmt w:val="decimal"/>
      <w:pStyle w:val="16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5AC04B04"/>
    <w:multiLevelType w:val="multilevel"/>
    <w:tmpl w:val="5AC04B04"/>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0B55DC2"/>
    <w:multiLevelType w:val="multilevel"/>
    <w:tmpl w:val="60B55DC2"/>
    <w:lvl w:ilvl="0" w:tentative="0">
      <w:start w:val="1"/>
      <w:numFmt w:val="upperLetter"/>
      <w:pStyle w:val="117"/>
      <w:lvlText w:val="%1"/>
      <w:lvlJc w:val="left"/>
      <w:pPr>
        <w:tabs>
          <w:tab w:val="left" w:pos="0"/>
        </w:tabs>
        <w:ind w:left="0" w:hanging="425"/>
      </w:pPr>
      <w:rPr>
        <w:rFonts w:hint="eastAsia"/>
      </w:rPr>
    </w:lvl>
    <w:lvl w:ilvl="1" w:tentative="0">
      <w:start w:val="1"/>
      <w:numFmt w:val="decimal"/>
      <w:pStyle w:val="118"/>
      <w:suff w:val="nothing"/>
      <w:lvlText w:val="表%1.%2　"/>
      <w:lvlJc w:val="left"/>
      <w:pPr>
        <w:ind w:left="3544"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tentative="0">
      <w:start w:val="1"/>
      <w:numFmt w:val="decimal"/>
      <w:pStyle w:val="15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115"/>
      <w:suff w:val="nothing"/>
      <w:lvlText w:val="附　录　%1"/>
      <w:lvlJc w:val="left"/>
      <w:pPr>
        <w:ind w:left="326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19"/>
      <w:suff w:val="nothing"/>
      <w:lvlText w:val="%1.%2.%3.%4　"/>
      <w:lvlJc w:val="left"/>
      <w:pPr>
        <w:ind w:left="0" w:firstLine="0"/>
      </w:pPr>
      <w:rPr>
        <w:rFonts w:hint="eastAsia" w:ascii="黑体" w:hAnsi="Times New Roman" w:eastAsia="黑体"/>
        <w:b w:val="0"/>
        <w:i w:val="0"/>
        <w:sz w:val="21"/>
      </w:rPr>
    </w:lvl>
    <w:lvl w:ilvl="4" w:tentative="0">
      <w:start w:val="1"/>
      <w:numFmt w:val="decimal"/>
      <w:pStyle w:val="124"/>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CEA2025"/>
    <w:multiLevelType w:val="multilevel"/>
    <w:tmpl w:val="6CEA2025"/>
    <w:lvl w:ilvl="0" w:tentative="0">
      <w:start w:val="1"/>
      <w:numFmt w:val="none"/>
      <w:pStyle w:val="68"/>
      <w:suff w:val="nothing"/>
      <w:lvlText w:val="%1"/>
      <w:lvlJc w:val="left"/>
      <w:pPr>
        <w:ind w:left="0" w:firstLine="0"/>
      </w:pPr>
      <w:rPr>
        <w:rFonts w:hint="default" w:ascii="Times New Roman" w:hAnsi="Times New Roman" w:cs="Times New Roman"/>
        <w:b/>
        <w:i w:val="0"/>
        <w:sz w:val="21"/>
      </w:rPr>
    </w:lvl>
    <w:lvl w:ilvl="1" w:tentative="0">
      <w:start w:val="1"/>
      <w:numFmt w:val="decimal"/>
      <w:pStyle w:val="72"/>
      <w:suff w:val="space"/>
      <w:lvlText w:val="%1%2　"/>
      <w:lvlJc w:val="left"/>
      <w:pPr>
        <w:ind w:left="0" w:firstLine="0"/>
      </w:pPr>
      <w:rPr>
        <w:rFonts w:hint="eastAsia" w:ascii="黑体" w:hAnsi="Times New Roman" w:eastAsia="黑体"/>
        <w:b w:val="0"/>
        <w:i w:val="0"/>
        <w:sz w:val="21"/>
      </w:rPr>
    </w:lvl>
    <w:lvl w:ilvl="2" w:tentative="0">
      <w:start w:val="1"/>
      <w:numFmt w:val="decimal"/>
      <w:suff w:val="space"/>
      <w:lvlText w:val="%1%2.%3　"/>
      <w:lvlJc w:val="left"/>
      <w:pPr>
        <w:ind w:left="0" w:firstLine="0"/>
      </w:pPr>
      <w:rPr>
        <w:rFonts w:hint="eastAsia" w:ascii="黑体" w:hAnsi="Times New Roman" w:eastAsia="黑体"/>
        <w:b w:val="0"/>
        <w:i w:val="0"/>
        <w:sz w:val="21"/>
      </w:rPr>
    </w:lvl>
    <w:lvl w:ilvl="3" w:tentative="0">
      <w:start w:val="1"/>
      <w:numFmt w:val="decimal"/>
      <w:suff w:val="space"/>
      <w:lvlText w:val="%1%2.%3.%4　"/>
      <w:lvlJc w:val="left"/>
      <w:pPr>
        <w:ind w:left="0" w:firstLine="0"/>
      </w:pPr>
      <w:rPr>
        <w:rFonts w:hint="eastAsia" w:ascii="黑体" w:hAnsi="Times New Roman" w:eastAsia="黑体"/>
        <w:b w:val="0"/>
        <w:i w:val="0"/>
        <w:sz w:val="21"/>
      </w:rPr>
    </w:lvl>
    <w:lvl w:ilvl="4" w:tentative="0">
      <w:start w:val="1"/>
      <w:numFmt w:val="decimal"/>
      <w:suff w:val="space"/>
      <w:lvlText w:val="%1%2.%3.%4.%5　"/>
      <w:lvlJc w:val="left"/>
      <w:pPr>
        <w:ind w:left="851" w:firstLine="0"/>
      </w:pPr>
      <w:rPr>
        <w:rFonts w:hint="eastAsia" w:ascii="黑体" w:hAnsi="Times New Roman" w:eastAsia="黑体"/>
        <w:b w:val="0"/>
        <w:i w:val="0"/>
        <w:sz w:val="21"/>
      </w:rPr>
    </w:lvl>
    <w:lvl w:ilvl="5" w:tentative="0">
      <w:start w:val="1"/>
      <w:numFmt w:val="decimal"/>
      <w:suff w:val="space"/>
      <w:lvlText w:val="%1%2.%3.%4.%5.%6　"/>
      <w:lvlJc w:val="left"/>
      <w:pPr>
        <w:ind w:left="0" w:firstLine="0"/>
      </w:pPr>
      <w:rPr>
        <w:rFonts w:hint="eastAsia" w:ascii="黑体" w:hAnsi="Times New Roman" w:eastAsia="黑体"/>
        <w:b w:val="0"/>
        <w:i w:val="0"/>
        <w:sz w:val="21"/>
      </w:rPr>
    </w:lvl>
    <w:lvl w:ilvl="6" w:tentative="0">
      <w:start w:val="1"/>
      <w:numFmt w:val="decimal"/>
      <w:suff w:val="space"/>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19">
    <w:nsid w:val="6D6C07CD"/>
    <w:multiLevelType w:val="multilevel"/>
    <w:tmpl w:val="6D6C07CD"/>
    <w:lvl w:ilvl="0" w:tentative="0">
      <w:start w:val="1"/>
      <w:numFmt w:val="lowerLetter"/>
      <w:pStyle w:val="136"/>
      <w:lvlText w:val="%1)"/>
      <w:lvlJc w:val="left"/>
      <w:pPr>
        <w:tabs>
          <w:tab w:val="left" w:pos="839"/>
        </w:tabs>
        <w:ind w:left="839" w:hanging="419"/>
      </w:pPr>
      <w:rPr>
        <w:rFonts w:hint="eastAsia" w:ascii="宋体" w:eastAsia="宋体"/>
        <w:b w:val="0"/>
        <w:i w:val="0"/>
        <w:sz w:val="21"/>
      </w:rPr>
    </w:lvl>
    <w:lvl w:ilvl="1" w:tentative="0">
      <w:start w:val="1"/>
      <w:numFmt w:val="decimal"/>
      <w:pStyle w:val="12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0">
    <w:nsid w:val="6DBF04F4"/>
    <w:multiLevelType w:val="multilevel"/>
    <w:tmpl w:val="6DBF04F4"/>
    <w:lvl w:ilvl="0" w:tentative="0">
      <w:start w:val="1"/>
      <w:numFmt w:val="none"/>
      <w:pStyle w:val="8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6"/>
  </w:num>
  <w:num w:numId="5">
    <w:abstractNumId w:val="3"/>
  </w:num>
  <w:num w:numId="6">
    <w:abstractNumId w:val="10"/>
  </w:num>
  <w:num w:numId="7">
    <w:abstractNumId w:val="20"/>
  </w:num>
  <w:num w:numId="8">
    <w:abstractNumId w:val="1"/>
  </w:num>
  <w:num w:numId="9">
    <w:abstractNumId w:val="12"/>
  </w:num>
  <w:num w:numId="10">
    <w:abstractNumId w:val="5"/>
  </w:num>
  <w:num w:numId="11">
    <w:abstractNumId w:val="17"/>
  </w:num>
  <w:num w:numId="12">
    <w:abstractNumId w:val="15"/>
  </w:num>
  <w:num w:numId="13">
    <w:abstractNumId w:val="19"/>
  </w:num>
  <w:num w:numId="14">
    <w:abstractNumId w:val="7"/>
  </w:num>
  <w:num w:numId="15">
    <w:abstractNumId w:val="2"/>
  </w:num>
  <w:num w:numId="16">
    <w:abstractNumId w:val="4"/>
  </w:num>
  <w:num w:numId="17">
    <w:abstractNumId w:val="16"/>
  </w:num>
  <w:num w:numId="18">
    <w:abstractNumId w:val="13"/>
  </w:num>
  <w:num w:numId="19">
    <w:abstractNumId w:val="14"/>
  </w:num>
  <w:num w:numId="20">
    <w:abstractNumId w:val="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156"/>
    <w:rsid w:val="00026A96"/>
    <w:rsid w:val="00040424"/>
    <w:rsid w:val="000414EE"/>
    <w:rsid w:val="000C38CF"/>
    <w:rsid w:val="000D1C21"/>
    <w:rsid w:val="00101DF5"/>
    <w:rsid w:val="00172C3C"/>
    <w:rsid w:val="001B0A44"/>
    <w:rsid w:val="001C217D"/>
    <w:rsid w:val="001E6A61"/>
    <w:rsid w:val="002222F6"/>
    <w:rsid w:val="002669E1"/>
    <w:rsid w:val="0027196A"/>
    <w:rsid w:val="002E6116"/>
    <w:rsid w:val="002F4639"/>
    <w:rsid w:val="002F55FB"/>
    <w:rsid w:val="0034082D"/>
    <w:rsid w:val="003634CD"/>
    <w:rsid w:val="00381A29"/>
    <w:rsid w:val="00391AD8"/>
    <w:rsid w:val="00397BFF"/>
    <w:rsid w:val="003B1862"/>
    <w:rsid w:val="003B232C"/>
    <w:rsid w:val="003D73B1"/>
    <w:rsid w:val="004468EC"/>
    <w:rsid w:val="004540BF"/>
    <w:rsid w:val="004648EB"/>
    <w:rsid w:val="004A403E"/>
    <w:rsid w:val="004B076F"/>
    <w:rsid w:val="004B790C"/>
    <w:rsid w:val="00514C96"/>
    <w:rsid w:val="005A1972"/>
    <w:rsid w:val="005E6156"/>
    <w:rsid w:val="00605C67"/>
    <w:rsid w:val="00696888"/>
    <w:rsid w:val="007029AA"/>
    <w:rsid w:val="00775C62"/>
    <w:rsid w:val="00783353"/>
    <w:rsid w:val="007A7D2B"/>
    <w:rsid w:val="00807AF7"/>
    <w:rsid w:val="0081040C"/>
    <w:rsid w:val="00835AE4"/>
    <w:rsid w:val="00884FD5"/>
    <w:rsid w:val="008935F1"/>
    <w:rsid w:val="008A6BEF"/>
    <w:rsid w:val="008B0F15"/>
    <w:rsid w:val="009D4AA7"/>
    <w:rsid w:val="009F4705"/>
    <w:rsid w:val="00A0689E"/>
    <w:rsid w:val="00AE29B3"/>
    <w:rsid w:val="00AF3BC2"/>
    <w:rsid w:val="00AF3FC3"/>
    <w:rsid w:val="00B00558"/>
    <w:rsid w:val="00B4585E"/>
    <w:rsid w:val="00BE5693"/>
    <w:rsid w:val="00C41E0C"/>
    <w:rsid w:val="00C935FC"/>
    <w:rsid w:val="00C96EC6"/>
    <w:rsid w:val="00CF3BF3"/>
    <w:rsid w:val="00D06B0C"/>
    <w:rsid w:val="00D527B8"/>
    <w:rsid w:val="00E36C79"/>
    <w:rsid w:val="00E719CC"/>
    <w:rsid w:val="00EA57AB"/>
    <w:rsid w:val="00EB51A4"/>
    <w:rsid w:val="00EC0D21"/>
    <w:rsid w:val="00EF0E1F"/>
    <w:rsid w:val="00EF44F9"/>
    <w:rsid w:val="00F36611"/>
    <w:rsid w:val="00F86E7D"/>
    <w:rsid w:val="00FA228D"/>
    <w:rsid w:val="00FB79E2"/>
    <w:rsid w:val="0D391EB0"/>
    <w:rsid w:val="72DC3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49"/>
    <w:qFormat/>
    <w:uiPriority w:val="0"/>
    <w:pPr>
      <w:keepNext/>
      <w:keepLines/>
      <w:spacing w:line="360" w:lineRule="auto"/>
      <w:outlineLvl w:val="0"/>
    </w:pPr>
    <w:rPr>
      <w:rFonts w:eastAsia="黑体" w:asciiTheme="minorHAnsi" w:hAnsiTheme="minorHAnsi" w:cstheme="minorBidi"/>
      <w:b/>
      <w:bCs/>
      <w:kern w:val="44"/>
      <w:sz w:val="28"/>
      <w:szCs w:val="44"/>
    </w:rPr>
  </w:style>
  <w:style w:type="paragraph" w:styleId="3">
    <w:name w:val="heading 2"/>
    <w:basedOn w:val="1"/>
    <w:next w:val="1"/>
    <w:link w:val="50"/>
    <w:qFormat/>
    <w:uiPriority w:val="0"/>
    <w:pPr>
      <w:tabs>
        <w:tab w:val="left" w:pos="644"/>
      </w:tabs>
      <w:spacing w:line="288" w:lineRule="auto"/>
      <w:outlineLvl w:val="1"/>
    </w:pPr>
    <w:rPr>
      <w:rFonts w:ascii="黑体" w:hAnsi="黑体" w:eastAsia="黑体" w:cs="Times New Roman"/>
      <w:b/>
      <w:szCs w:val="28"/>
    </w:rPr>
  </w:style>
  <w:style w:type="paragraph" w:styleId="4">
    <w:name w:val="heading 3"/>
    <w:basedOn w:val="1"/>
    <w:next w:val="1"/>
    <w:link w:val="51"/>
    <w:qFormat/>
    <w:uiPriority w:val="0"/>
    <w:pPr>
      <w:keepNext/>
      <w:keepLines/>
      <w:spacing w:line="288" w:lineRule="auto"/>
      <w:outlineLvl w:val="2"/>
    </w:pPr>
    <w:rPr>
      <w:rFonts w:ascii="黑体" w:hAnsi="黑体" w:eastAsia="黑体"/>
      <w:b/>
      <w:bCs/>
      <w:szCs w:val="32"/>
    </w:rPr>
  </w:style>
  <w:style w:type="paragraph" w:styleId="5">
    <w:name w:val="heading 4"/>
    <w:basedOn w:val="1"/>
    <w:next w:val="1"/>
    <w:link w:val="52"/>
    <w:unhideWhenUsed/>
    <w:qFormat/>
    <w:uiPriority w:val="0"/>
    <w:pPr>
      <w:keepNext/>
      <w:keepLines/>
      <w:spacing w:line="288" w:lineRule="auto"/>
      <w:outlineLvl w:val="3"/>
    </w:pPr>
    <w:rPr>
      <w:rFonts w:ascii="黑体" w:hAnsi="黑体" w:eastAsia="黑体" w:cstheme="majorBidi"/>
      <w:b/>
      <w:bCs/>
      <w:szCs w:val="28"/>
    </w:rPr>
  </w:style>
  <w:style w:type="paragraph" w:styleId="6">
    <w:name w:val="heading 5"/>
    <w:basedOn w:val="1"/>
    <w:next w:val="1"/>
    <w:link w:val="53"/>
    <w:unhideWhenUsed/>
    <w:qFormat/>
    <w:uiPriority w:val="0"/>
    <w:pPr>
      <w:keepNext/>
      <w:keepLines/>
      <w:spacing w:line="288" w:lineRule="auto"/>
      <w:outlineLvl w:val="4"/>
    </w:pPr>
    <w:rPr>
      <w:rFonts w:ascii="黑体" w:hAnsi="黑体" w:eastAsia="黑体" w:cstheme="minorBidi"/>
      <w:b/>
      <w:bCs/>
      <w:szCs w:val="28"/>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Theme="minorHAnsi" w:hAnsiTheme="minorHAnsi" w:eastAsiaTheme="minorEastAsia" w:cstheme="minorBidi"/>
    </w:rPr>
  </w:style>
  <w:style w:type="paragraph" w:styleId="8">
    <w:name w:val="index 8"/>
    <w:basedOn w:val="1"/>
    <w:next w:val="1"/>
    <w:qFormat/>
    <w:uiPriority w:val="0"/>
    <w:pPr>
      <w:ind w:left="1680" w:hanging="210"/>
      <w:jc w:val="left"/>
    </w:pPr>
    <w:rPr>
      <w:rFonts w:cs="Times New Roman"/>
      <w:sz w:val="20"/>
      <w:szCs w:val="20"/>
    </w:rPr>
  </w:style>
  <w:style w:type="paragraph" w:styleId="9">
    <w:name w:val="Normal Indent"/>
    <w:basedOn w:val="1"/>
    <w:link w:val="58"/>
    <w:qFormat/>
    <w:uiPriority w:val="0"/>
    <w:pPr>
      <w:ind w:firstLine="420"/>
    </w:pPr>
    <w:rPr>
      <w:rFonts w:ascii="Times New Roman" w:hAnsi="Times New Roman" w:cs="Times New Roman"/>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index 5"/>
    <w:basedOn w:val="1"/>
    <w:next w:val="1"/>
    <w:qFormat/>
    <w:uiPriority w:val="0"/>
    <w:pPr>
      <w:ind w:left="1050" w:hanging="210"/>
      <w:jc w:val="left"/>
    </w:pPr>
    <w:rPr>
      <w:rFonts w:cs="Times New Roman"/>
      <w:sz w:val="20"/>
      <w:szCs w:val="20"/>
    </w:rPr>
  </w:style>
  <w:style w:type="paragraph" w:styleId="12">
    <w:name w:val="Document Map"/>
    <w:basedOn w:val="1"/>
    <w:link w:val="59"/>
    <w:qFormat/>
    <w:uiPriority w:val="0"/>
    <w:pPr>
      <w:shd w:val="clear" w:color="auto" w:fill="000080"/>
    </w:pPr>
    <w:rPr>
      <w:rFonts w:ascii="Times New Roman" w:hAnsi="Times New Roman" w:cs="Times New Roman"/>
      <w:szCs w:val="24"/>
    </w:rPr>
  </w:style>
  <w:style w:type="paragraph" w:styleId="13">
    <w:name w:val="annotation text"/>
    <w:basedOn w:val="1"/>
    <w:link w:val="60"/>
    <w:qFormat/>
    <w:uiPriority w:val="0"/>
    <w:pPr>
      <w:jc w:val="left"/>
    </w:pPr>
    <w:rPr>
      <w:rFonts w:ascii="Times New Roman" w:hAnsi="Times New Roman" w:cs="Times New Roman"/>
      <w:szCs w:val="24"/>
    </w:rPr>
  </w:style>
  <w:style w:type="paragraph" w:styleId="14">
    <w:name w:val="index 6"/>
    <w:basedOn w:val="1"/>
    <w:next w:val="1"/>
    <w:qFormat/>
    <w:uiPriority w:val="0"/>
    <w:pPr>
      <w:ind w:left="1260" w:hanging="210"/>
      <w:jc w:val="left"/>
    </w:pPr>
    <w:rPr>
      <w:rFonts w:cs="Times New Roman"/>
      <w:sz w:val="20"/>
      <w:szCs w:val="20"/>
    </w:rPr>
  </w:style>
  <w:style w:type="paragraph" w:styleId="15">
    <w:name w:val="Body Text"/>
    <w:basedOn w:val="1"/>
    <w:link w:val="61"/>
    <w:qFormat/>
    <w:uiPriority w:val="1"/>
    <w:pPr>
      <w:ind w:left="532"/>
      <w:jc w:val="left"/>
    </w:pPr>
    <w:rPr>
      <w:rFonts w:ascii="宋体" w:hAnsi="宋体"/>
      <w:kern w:val="0"/>
      <w:szCs w:val="21"/>
      <w:lang w:eastAsia="en-US"/>
    </w:rPr>
  </w:style>
  <w:style w:type="paragraph" w:styleId="16">
    <w:name w:val="index 4"/>
    <w:basedOn w:val="1"/>
    <w:next w:val="1"/>
    <w:qFormat/>
    <w:uiPriority w:val="0"/>
    <w:pPr>
      <w:ind w:left="840" w:hanging="210"/>
      <w:jc w:val="left"/>
    </w:pPr>
    <w:rPr>
      <w:rFonts w:cs="Times New Roman"/>
      <w:sz w:val="20"/>
      <w:szCs w:val="20"/>
    </w:rPr>
  </w:style>
  <w:style w:type="paragraph" w:styleId="17">
    <w:name w:val="toc 5"/>
    <w:basedOn w:val="1"/>
    <w:next w:val="1"/>
    <w:unhideWhenUsed/>
    <w:qFormat/>
    <w:uiPriority w:val="39"/>
    <w:pPr>
      <w:ind w:left="1680" w:leftChars="800"/>
    </w:pPr>
    <w:rPr>
      <w:rFonts w:asciiTheme="minorHAnsi" w:hAnsiTheme="minorHAnsi" w:eastAsiaTheme="minorEastAsia" w:cstheme="minorBidi"/>
    </w:rPr>
  </w:style>
  <w:style w:type="paragraph" w:styleId="18">
    <w:name w:val="toc 3"/>
    <w:basedOn w:val="1"/>
    <w:next w:val="1"/>
    <w:unhideWhenUsed/>
    <w:qFormat/>
    <w:uiPriority w:val="39"/>
    <w:pPr>
      <w:widowControl/>
      <w:spacing w:after="100" w:line="259" w:lineRule="auto"/>
      <w:ind w:left="440"/>
      <w:jc w:val="left"/>
    </w:pPr>
    <w:rPr>
      <w:rFonts w:cs="Times New Roman" w:asciiTheme="minorHAnsi" w:hAnsiTheme="minorHAnsi" w:eastAsiaTheme="minorEastAsia"/>
      <w:kern w:val="0"/>
      <w:sz w:val="22"/>
    </w:rPr>
  </w:style>
  <w:style w:type="paragraph" w:styleId="19">
    <w:name w:val="Plain Text"/>
    <w:basedOn w:val="1"/>
    <w:link w:val="62"/>
    <w:qFormat/>
    <w:uiPriority w:val="0"/>
    <w:rPr>
      <w:rFonts w:ascii="宋体" w:hAnsi="Courier New" w:cs="Times New Roman"/>
      <w:szCs w:val="20"/>
    </w:rPr>
  </w:style>
  <w:style w:type="paragraph" w:styleId="20">
    <w:name w:val="toc 8"/>
    <w:basedOn w:val="1"/>
    <w:next w:val="1"/>
    <w:unhideWhenUsed/>
    <w:qFormat/>
    <w:uiPriority w:val="39"/>
    <w:pPr>
      <w:ind w:left="2940" w:leftChars="1400"/>
    </w:pPr>
    <w:rPr>
      <w:rFonts w:asciiTheme="minorHAnsi" w:hAnsiTheme="minorHAnsi" w:eastAsiaTheme="minorEastAsia" w:cstheme="minorBidi"/>
    </w:rPr>
  </w:style>
  <w:style w:type="paragraph" w:styleId="21">
    <w:name w:val="index 3"/>
    <w:basedOn w:val="1"/>
    <w:next w:val="1"/>
    <w:qFormat/>
    <w:uiPriority w:val="0"/>
    <w:pPr>
      <w:ind w:left="630" w:hanging="210"/>
      <w:jc w:val="left"/>
    </w:pPr>
    <w:rPr>
      <w:rFonts w:cs="Times New Roman"/>
      <w:sz w:val="20"/>
      <w:szCs w:val="20"/>
    </w:rPr>
  </w:style>
  <w:style w:type="paragraph" w:styleId="22">
    <w:name w:val="Date"/>
    <w:basedOn w:val="1"/>
    <w:next w:val="1"/>
    <w:link w:val="57"/>
    <w:unhideWhenUsed/>
    <w:qFormat/>
    <w:uiPriority w:val="0"/>
    <w:pPr>
      <w:ind w:left="100" w:leftChars="2500"/>
    </w:pPr>
  </w:style>
  <w:style w:type="paragraph" w:styleId="23">
    <w:name w:val="endnote text"/>
    <w:basedOn w:val="1"/>
    <w:link w:val="63"/>
    <w:semiHidden/>
    <w:qFormat/>
    <w:uiPriority w:val="0"/>
    <w:pPr>
      <w:snapToGrid w:val="0"/>
      <w:jc w:val="left"/>
    </w:pPr>
    <w:rPr>
      <w:rFonts w:ascii="Times New Roman" w:hAnsi="Times New Roman" w:cs="Times New Roman"/>
      <w:szCs w:val="24"/>
    </w:rPr>
  </w:style>
  <w:style w:type="paragraph" w:styleId="24">
    <w:name w:val="Balloon Text"/>
    <w:basedOn w:val="1"/>
    <w:link w:val="56"/>
    <w:qFormat/>
    <w:uiPriority w:val="0"/>
    <w:rPr>
      <w:sz w:val="18"/>
      <w:szCs w:val="18"/>
    </w:rPr>
  </w:style>
  <w:style w:type="paragraph" w:styleId="25">
    <w:name w:val="footer"/>
    <w:basedOn w:val="1"/>
    <w:link w:val="55"/>
    <w:qFormat/>
    <w:uiPriority w:val="99"/>
    <w:pPr>
      <w:tabs>
        <w:tab w:val="center" w:pos="4153"/>
        <w:tab w:val="right" w:pos="8306"/>
      </w:tabs>
      <w:snapToGrid w:val="0"/>
      <w:jc w:val="left"/>
    </w:pPr>
    <w:rPr>
      <w:sz w:val="18"/>
      <w:szCs w:val="18"/>
    </w:rPr>
  </w:style>
  <w:style w:type="paragraph" w:styleId="26">
    <w:name w:val="header"/>
    <w:basedOn w:val="1"/>
    <w:link w:val="54"/>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unhideWhenUsed/>
    <w:qFormat/>
    <w:uiPriority w:val="39"/>
    <w:pPr>
      <w:widowControl/>
      <w:spacing w:after="100" w:line="259" w:lineRule="auto"/>
      <w:jc w:val="left"/>
    </w:pPr>
    <w:rPr>
      <w:rFonts w:cs="Times New Roman" w:asciiTheme="minorHAnsi" w:hAnsiTheme="minorHAnsi" w:eastAsiaTheme="minorEastAsia"/>
      <w:kern w:val="0"/>
      <w:sz w:val="22"/>
    </w:rPr>
  </w:style>
  <w:style w:type="paragraph" w:styleId="28">
    <w:name w:val="toc 4"/>
    <w:basedOn w:val="1"/>
    <w:next w:val="1"/>
    <w:unhideWhenUsed/>
    <w:qFormat/>
    <w:uiPriority w:val="39"/>
    <w:pPr>
      <w:ind w:left="1260" w:leftChars="600"/>
    </w:pPr>
    <w:rPr>
      <w:rFonts w:asciiTheme="minorHAnsi" w:hAnsiTheme="minorHAnsi" w:eastAsiaTheme="minorEastAsia" w:cstheme="minorBidi"/>
    </w:rPr>
  </w:style>
  <w:style w:type="paragraph" w:styleId="29">
    <w:name w:val="index heading"/>
    <w:basedOn w:val="1"/>
    <w:next w:val="30"/>
    <w:qFormat/>
    <w:uiPriority w:val="0"/>
    <w:pPr>
      <w:spacing w:before="120" w:after="120"/>
      <w:jc w:val="center"/>
    </w:pPr>
    <w:rPr>
      <w:rFonts w:cs="Times New Roman"/>
      <w:b/>
      <w:bCs/>
      <w:iCs/>
      <w:szCs w:val="20"/>
    </w:rPr>
  </w:style>
  <w:style w:type="paragraph" w:styleId="30">
    <w:name w:val="index 1"/>
    <w:basedOn w:val="1"/>
    <w:next w:val="1"/>
    <w:unhideWhenUsed/>
    <w:qFormat/>
    <w:uiPriority w:val="0"/>
  </w:style>
  <w:style w:type="paragraph" w:styleId="31">
    <w:name w:val="footnote text"/>
    <w:basedOn w:val="1"/>
    <w:link w:val="64"/>
    <w:qFormat/>
    <w:uiPriority w:val="0"/>
    <w:pPr>
      <w:numPr>
        <w:ilvl w:val="0"/>
        <w:numId w:val="1"/>
      </w:numPr>
      <w:snapToGrid w:val="0"/>
      <w:jc w:val="left"/>
    </w:pPr>
    <w:rPr>
      <w:rFonts w:ascii="宋体" w:hAnsi="Times New Roman" w:cs="Times New Roman"/>
      <w:sz w:val="18"/>
      <w:szCs w:val="18"/>
    </w:rPr>
  </w:style>
  <w:style w:type="paragraph" w:styleId="32">
    <w:name w:val="toc 6"/>
    <w:basedOn w:val="1"/>
    <w:next w:val="1"/>
    <w:unhideWhenUsed/>
    <w:qFormat/>
    <w:uiPriority w:val="39"/>
    <w:pPr>
      <w:ind w:left="2100" w:leftChars="1000"/>
    </w:pPr>
    <w:rPr>
      <w:rFonts w:asciiTheme="minorHAnsi" w:hAnsiTheme="minorHAnsi" w:eastAsiaTheme="minorEastAsia" w:cstheme="minorBidi"/>
    </w:rPr>
  </w:style>
  <w:style w:type="paragraph" w:styleId="33">
    <w:name w:val="index 7"/>
    <w:basedOn w:val="1"/>
    <w:next w:val="1"/>
    <w:qFormat/>
    <w:uiPriority w:val="0"/>
    <w:pPr>
      <w:ind w:left="1470" w:hanging="210"/>
      <w:jc w:val="left"/>
    </w:pPr>
    <w:rPr>
      <w:rFonts w:cs="Times New Roman"/>
      <w:sz w:val="20"/>
      <w:szCs w:val="20"/>
    </w:rPr>
  </w:style>
  <w:style w:type="paragraph" w:styleId="34">
    <w:name w:val="index 9"/>
    <w:basedOn w:val="1"/>
    <w:next w:val="1"/>
    <w:qFormat/>
    <w:uiPriority w:val="0"/>
    <w:pPr>
      <w:ind w:left="1890" w:hanging="210"/>
      <w:jc w:val="left"/>
    </w:pPr>
    <w:rPr>
      <w:rFonts w:cs="Times New Roman"/>
      <w:sz w:val="20"/>
      <w:szCs w:val="20"/>
    </w:rPr>
  </w:style>
  <w:style w:type="paragraph" w:styleId="35">
    <w:name w:val="toc 2"/>
    <w:basedOn w:val="1"/>
    <w:next w:val="1"/>
    <w:unhideWhenUsed/>
    <w:qFormat/>
    <w:uiPriority w:val="39"/>
    <w:pPr>
      <w:widowControl/>
      <w:spacing w:after="100" w:line="259" w:lineRule="auto"/>
      <w:ind w:left="220"/>
      <w:jc w:val="left"/>
    </w:pPr>
    <w:rPr>
      <w:rFonts w:cs="Times New Roman" w:asciiTheme="minorHAnsi" w:hAnsiTheme="minorHAnsi" w:eastAsiaTheme="minorEastAsia"/>
      <w:kern w:val="0"/>
      <w:sz w:val="22"/>
    </w:rPr>
  </w:style>
  <w:style w:type="paragraph" w:styleId="36">
    <w:name w:val="toc 9"/>
    <w:basedOn w:val="1"/>
    <w:next w:val="1"/>
    <w:unhideWhenUsed/>
    <w:qFormat/>
    <w:uiPriority w:val="39"/>
    <w:pPr>
      <w:ind w:left="3360" w:leftChars="1600"/>
    </w:pPr>
    <w:rPr>
      <w:rFonts w:asciiTheme="minorHAnsi" w:hAnsiTheme="minorHAnsi" w:eastAsiaTheme="minorEastAsia" w:cstheme="minorBidi"/>
    </w:rPr>
  </w:style>
  <w:style w:type="paragraph" w:styleId="37">
    <w:name w:val="Normal (Web)"/>
    <w:basedOn w:val="1"/>
    <w:unhideWhenUsed/>
    <w:qFormat/>
    <w:uiPriority w:val="99"/>
    <w:rPr>
      <w:rFonts w:ascii="Times New Roman" w:hAnsi="Times New Roman" w:cs="Times New Roman" w:eastAsiaTheme="minorEastAsia"/>
      <w:sz w:val="24"/>
      <w:szCs w:val="24"/>
    </w:rPr>
  </w:style>
  <w:style w:type="paragraph" w:styleId="38">
    <w:name w:val="index 2"/>
    <w:basedOn w:val="1"/>
    <w:next w:val="1"/>
    <w:qFormat/>
    <w:uiPriority w:val="0"/>
    <w:pPr>
      <w:ind w:left="420" w:hanging="210"/>
      <w:jc w:val="left"/>
    </w:pPr>
    <w:rPr>
      <w:rFonts w:cs="Times New Roman"/>
      <w:sz w:val="20"/>
      <w:szCs w:val="20"/>
    </w:rPr>
  </w:style>
  <w:style w:type="paragraph" w:styleId="39">
    <w:name w:val="Title"/>
    <w:basedOn w:val="1"/>
    <w:next w:val="1"/>
    <w:link w:val="65"/>
    <w:qFormat/>
    <w:uiPriority w:val="0"/>
    <w:pPr>
      <w:spacing w:before="240" w:after="60"/>
      <w:jc w:val="center"/>
      <w:outlineLvl w:val="0"/>
    </w:pPr>
    <w:rPr>
      <w:rFonts w:asciiTheme="majorHAnsi" w:hAnsiTheme="majorHAnsi" w:cstheme="majorBidi"/>
      <w:b/>
      <w:bCs/>
      <w:sz w:val="32"/>
      <w:szCs w:val="32"/>
    </w:rPr>
  </w:style>
  <w:style w:type="paragraph" w:styleId="40">
    <w:name w:val="annotation subject"/>
    <w:basedOn w:val="13"/>
    <w:next w:val="13"/>
    <w:link w:val="66"/>
    <w:qFormat/>
    <w:uiPriority w:val="0"/>
    <w:rPr>
      <w:b/>
      <w:bCs/>
    </w:rPr>
  </w:style>
  <w:style w:type="table" w:styleId="42">
    <w:name w:val="Table Grid"/>
    <w:basedOn w:val="41"/>
    <w:qFormat/>
    <w:uiPriority w:val="0"/>
    <w:rPr>
      <w:rFonts w:ascii="宋体" w:hAnsi="Times New Roman"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44">
    <w:name w:val="Strong"/>
    <w:basedOn w:val="43"/>
    <w:qFormat/>
    <w:uiPriority w:val="0"/>
    <w:rPr>
      <w:b/>
      <w:bCs/>
    </w:rPr>
  </w:style>
  <w:style w:type="character" w:styleId="45">
    <w:name w:val="page number"/>
    <w:qFormat/>
    <w:uiPriority w:val="0"/>
    <w:rPr>
      <w:rFonts w:ascii="Times New Roman" w:hAnsi="Times New Roman" w:eastAsia="宋体"/>
      <w:sz w:val="18"/>
    </w:rPr>
  </w:style>
  <w:style w:type="character" w:styleId="46">
    <w:name w:val="FollowedHyperlink"/>
    <w:basedOn w:val="43"/>
    <w:qFormat/>
    <w:uiPriority w:val="99"/>
    <w:rPr>
      <w:color w:val="954F72"/>
      <w:u w:val="single"/>
    </w:rPr>
  </w:style>
  <w:style w:type="character" w:styleId="47">
    <w:name w:val="Hyperlink"/>
    <w:basedOn w:val="43"/>
    <w:unhideWhenUsed/>
    <w:qFormat/>
    <w:uiPriority w:val="99"/>
    <w:rPr>
      <w:color w:val="0000FF" w:themeColor="hyperlink"/>
      <w:u w:val="single"/>
      <w14:textFill>
        <w14:solidFill>
          <w14:schemeClr w14:val="hlink"/>
        </w14:solidFill>
      </w14:textFill>
    </w:rPr>
  </w:style>
  <w:style w:type="character" w:styleId="48">
    <w:name w:val="annotation reference"/>
    <w:qFormat/>
    <w:uiPriority w:val="0"/>
    <w:rPr>
      <w:sz w:val="21"/>
      <w:szCs w:val="21"/>
    </w:rPr>
  </w:style>
  <w:style w:type="character" w:customStyle="1" w:styleId="49">
    <w:name w:val="标题 1 Char"/>
    <w:basedOn w:val="43"/>
    <w:link w:val="2"/>
    <w:qFormat/>
    <w:uiPriority w:val="0"/>
    <w:rPr>
      <w:rFonts w:eastAsia="黑体" w:asciiTheme="minorHAnsi" w:hAnsiTheme="minorHAnsi" w:cstheme="minorBidi"/>
      <w:b/>
      <w:bCs/>
      <w:kern w:val="44"/>
      <w:sz w:val="28"/>
      <w:szCs w:val="44"/>
    </w:rPr>
  </w:style>
  <w:style w:type="character" w:customStyle="1" w:styleId="50">
    <w:name w:val="标题 2 Char"/>
    <w:basedOn w:val="43"/>
    <w:link w:val="3"/>
    <w:qFormat/>
    <w:uiPriority w:val="0"/>
    <w:rPr>
      <w:rFonts w:ascii="黑体" w:hAnsi="黑体" w:eastAsia="黑体" w:cs="Times New Roman"/>
      <w:b/>
      <w:szCs w:val="28"/>
    </w:rPr>
  </w:style>
  <w:style w:type="character" w:customStyle="1" w:styleId="51">
    <w:name w:val="标题 3 Char"/>
    <w:basedOn w:val="43"/>
    <w:link w:val="4"/>
    <w:qFormat/>
    <w:uiPriority w:val="0"/>
    <w:rPr>
      <w:rFonts w:ascii="黑体" w:hAnsi="黑体" w:eastAsia="黑体"/>
      <w:b/>
      <w:bCs/>
      <w:szCs w:val="32"/>
    </w:rPr>
  </w:style>
  <w:style w:type="character" w:customStyle="1" w:styleId="52">
    <w:name w:val="标题 4 Char"/>
    <w:basedOn w:val="43"/>
    <w:link w:val="5"/>
    <w:qFormat/>
    <w:uiPriority w:val="0"/>
    <w:rPr>
      <w:rFonts w:ascii="黑体" w:hAnsi="黑体" w:eastAsia="黑体" w:cstheme="majorBidi"/>
      <w:b/>
      <w:bCs/>
      <w:szCs w:val="28"/>
    </w:rPr>
  </w:style>
  <w:style w:type="character" w:customStyle="1" w:styleId="53">
    <w:name w:val="标题 5 Char"/>
    <w:basedOn w:val="43"/>
    <w:link w:val="6"/>
    <w:qFormat/>
    <w:uiPriority w:val="0"/>
    <w:rPr>
      <w:rFonts w:ascii="黑体" w:hAnsi="黑体" w:eastAsia="黑体" w:cstheme="minorBidi"/>
      <w:b/>
      <w:bCs/>
      <w:szCs w:val="28"/>
    </w:rPr>
  </w:style>
  <w:style w:type="character" w:customStyle="1" w:styleId="54">
    <w:name w:val="页眉 Char"/>
    <w:basedOn w:val="43"/>
    <w:link w:val="26"/>
    <w:qFormat/>
    <w:uiPriority w:val="0"/>
    <w:rPr>
      <w:sz w:val="18"/>
      <w:szCs w:val="18"/>
    </w:rPr>
  </w:style>
  <w:style w:type="character" w:customStyle="1" w:styleId="55">
    <w:name w:val="页脚 Char"/>
    <w:basedOn w:val="43"/>
    <w:link w:val="25"/>
    <w:qFormat/>
    <w:uiPriority w:val="99"/>
    <w:rPr>
      <w:sz w:val="18"/>
      <w:szCs w:val="18"/>
    </w:rPr>
  </w:style>
  <w:style w:type="character" w:customStyle="1" w:styleId="56">
    <w:name w:val="批注框文本 Char"/>
    <w:basedOn w:val="43"/>
    <w:link w:val="24"/>
    <w:qFormat/>
    <w:uiPriority w:val="0"/>
    <w:rPr>
      <w:sz w:val="18"/>
      <w:szCs w:val="18"/>
    </w:rPr>
  </w:style>
  <w:style w:type="character" w:customStyle="1" w:styleId="57">
    <w:name w:val="日期 Char"/>
    <w:basedOn w:val="43"/>
    <w:link w:val="22"/>
    <w:qFormat/>
    <w:uiPriority w:val="0"/>
  </w:style>
  <w:style w:type="character" w:customStyle="1" w:styleId="58">
    <w:name w:val="正文缩进 Char"/>
    <w:link w:val="9"/>
    <w:qFormat/>
    <w:uiPriority w:val="0"/>
    <w:rPr>
      <w:rFonts w:ascii="Times New Roman" w:hAnsi="Times New Roman" w:cs="Times New Roman"/>
      <w:szCs w:val="20"/>
    </w:rPr>
  </w:style>
  <w:style w:type="character" w:customStyle="1" w:styleId="59">
    <w:name w:val="文档结构图 Char"/>
    <w:basedOn w:val="43"/>
    <w:link w:val="12"/>
    <w:qFormat/>
    <w:uiPriority w:val="0"/>
    <w:rPr>
      <w:rFonts w:ascii="Times New Roman" w:hAnsi="Times New Roman" w:cs="Times New Roman"/>
      <w:szCs w:val="24"/>
      <w:shd w:val="clear" w:color="auto" w:fill="000080"/>
    </w:rPr>
  </w:style>
  <w:style w:type="character" w:customStyle="1" w:styleId="60">
    <w:name w:val="批注文字 Char"/>
    <w:basedOn w:val="43"/>
    <w:link w:val="13"/>
    <w:qFormat/>
    <w:uiPriority w:val="0"/>
    <w:rPr>
      <w:rFonts w:ascii="Times New Roman" w:hAnsi="Times New Roman" w:cs="Times New Roman"/>
      <w:szCs w:val="24"/>
    </w:rPr>
  </w:style>
  <w:style w:type="character" w:customStyle="1" w:styleId="61">
    <w:name w:val="正文文本 Char"/>
    <w:basedOn w:val="43"/>
    <w:link w:val="15"/>
    <w:qFormat/>
    <w:uiPriority w:val="1"/>
    <w:rPr>
      <w:rFonts w:ascii="宋体" w:hAnsi="宋体"/>
      <w:kern w:val="0"/>
      <w:szCs w:val="21"/>
      <w:lang w:eastAsia="en-US"/>
    </w:rPr>
  </w:style>
  <w:style w:type="character" w:customStyle="1" w:styleId="62">
    <w:name w:val="纯文本 Char"/>
    <w:basedOn w:val="43"/>
    <w:link w:val="19"/>
    <w:qFormat/>
    <w:uiPriority w:val="0"/>
    <w:rPr>
      <w:rFonts w:ascii="宋体" w:hAnsi="Courier New" w:cs="Times New Roman"/>
      <w:szCs w:val="20"/>
    </w:rPr>
  </w:style>
  <w:style w:type="character" w:customStyle="1" w:styleId="63">
    <w:name w:val="尾注文本 Char"/>
    <w:basedOn w:val="43"/>
    <w:link w:val="23"/>
    <w:semiHidden/>
    <w:qFormat/>
    <w:uiPriority w:val="0"/>
    <w:rPr>
      <w:rFonts w:ascii="Times New Roman" w:hAnsi="Times New Roman" w:cs="Times New Roman"/>
      <w:szCs w:val="24"/>
    </w:rPr>
  </w:style>
  <w:style w:type="character" w:customStyle="1" w:styleId="64">
    <w:name w:val="脚注文本 Char"/>
    <w:basedOn w:val="43"/>
    <w:link w:val="31"/>
    <w:qFormat/>
    <w:uiPriority w:val="0"/>
    <w:rPr>
      <w:rFonts w:ascii="宋体" w:hAnsi="Times New Roman" w:cs="Times New Roman"/>
      <w:sz w:val="18"/>
      <w:szCs w:val="18"/>
    </w:rPr>
  </w:style>
  <w:style w:type="character" w:customStyle="1" w:styleId="65">
    <w:name w:val="标题 Char"/>
    <w:basedOn w:val="43"/>
    <w:link w:val="39"/>
    <w:qFormat/>
    <w:uiPriority w:val="0"/>
    <w:rPr>
      <w:rFonts w:asciiTheme="majorHAnsi" w:hAnsiTheme="majorHAnsi" w:cstheme="majorBidi"/>
      <w:b/>
      <w:bCs/>
      <w:sz w:val="32"/>
      <w:szCs w:val="32"/>
    </w:rPr>
  </w:style>
  <w:style w:type="character" w:customStyle="1" w:styleId="66">
    <w:name w:val="批注主题 Char"/>
    <w:basedOn w:val="60"/>
    <w:link w:val="40"/>
    <w:qFormat/>
    <w:uiPriority w:val="0"/>
    <w:rPr>
      <w:rFonts w:ascii="Times New Roman" w:hAnsi="Times New Roman" w:cs="Times New Roman"/>
      <w:b/>
      <w:bCs/>
      <w:szCs w:val="24"/>
    </w:rPr>
  </w:style>
  <w:style w:type="paragraph" w:styleId="67">
    <w:name w:val="List Paragraph"/>
    <w:basedOn w:val="1"/>
    <w:qFormat/>
    <w:uiPriority w:val="99"/>
    <w:pPr>
      <w:ind w:firstLine="420" w:firstLineChars="200"/>
    </w:pPr>
    <w:rPr>
      <w:rFonts w:asciiTheme="minorHAnsi" w:hAnsiTheme="minorHAnsi" w:eastAsiaTheme="minorEastAsia" w:cstheme="minorBidi"/>
    </w:rPr>
  </w:style>
  <w:style w:type="paragraph" w:customStyle="1" w:styleId="68">
    <w:name w:val="段"/>
    <w:link w:val="69"/>
    <w:qFormat/>
    <w:uiPriority w:val="0"/>
    <w:pPr>
      <w:numPr>
        <w:ilvl w:val="0"/>
        <w:numId w:val="2"/>
      </w:numPr>
      <w:tabs>
        <w:tab w:val="center" w:pos="4201"/>
        <w:tab w:val="right" w:leader="dot" w:pos="9298"/>
      </w:tabs>
      <w:autoSpaceDE w:val="0"/>
      <w:autoSpaceDN w:val="0"/>
      <w:jc w:val="both"/>
    </w:pPr>
    <w:rPr>
      <w:rFonts w:ascii="宋体" w:hAnsi="Times New Roman" w:eastAsia="宋体" w:cs="Times New Roman"/>
      <w:kern w:val="0"/>
      <w:sz w:val="21"/>
      <w:szCs w:val="20"/>
      <w:lang w:val="en-US" w:eastAsia="zh-CN" w:bidi="ar-SA"/>
    </w:rPr>
  </w:style>
  <w:style w:type="character" w:customStyle="1" w:styleId="69">
    <w:name w:val="段 Char"/>
    <w:link w:val="68"/>
    <w:qFormat/>
    <w:uiPriority w:val="0"/>
    <w:rPr>
      <w:rFonts w:ascii="宋体" w:hAnsi="Times New Roman" w:cs="Times New Roman"/>
      <w:kern w:val="0"/>
      <w:szCs w:val="20"/>
    </w:rPr>
  </w:style>
  <w:style w:type="character" w:customStyle="1" w:styleId="70">
    <w:name w:val="页眉 Char1"/>
    <w:basedOn w:val="43"/>
    <w:qFormat/>
    <w:uiPriority w:val="99"/>
    <w:rPr>
      <w:sz w:val="18"/>
      <w:szCs w:val="18"/>
    </w:rPr>
  </w:style>
  <w:style w:type="character" w:customStyle="1" w:styleId="71">
    <w:name w:val="页脚 Char1"/>
    <w:basedOn w:val="43"/>
    <w:qFormat/>
    <w:uiPriority w:val="99"/>
    <w:rPr>
      <w:sz w:val="18"/>
      <w:szCs w:val="18"/>
    </w:rPr>
  </w:style>
  <w:style w:type="paragraph" w:customStyle="1" w:styleId="72">
    <w:name w:val="一级条标题"/>
    <w:next w:val="68"/>
    <w:qFormat/>
    <w:uiPriority w:val="0"/>
    <w:pPr>
      <w:numPr>
        <w:ilvl w:val="1"/>
        <w:numId w:val="2"/>
      </w:numPr>
      <w:spacing w:beforeLines="50" w:afterLines="50"/>
      <w:outlineLvl w:val="2"/>
    </w:pPr>
    <w:rPr>
      <w:rFonts w:ascii="黑体" w:hAnsi="Times New Roman" w:eastAsia="黑体" w:cs="Times New Roman"/>
      <w:kern w:val="0"/>
      <w:sz w:val="21"/>
      <w:szCs w:val="21"/>
      <w:lang w:val="en-US" w:eastAsia="zh-CN" w:bidi="ar-SA"/>
    </w:rPr>
  </w:style>
  <w:style w:type="paragraph" w:customStyle="1" w:styleId="73">
    <w:name w:val="标准书脚_奇数页"/>
    <w:qFormat/>
    <w:uiPriority w:val="0"/>
    <w:pPr>
      <w:spacing w:before="120"/>
      <w:ind w:right="198"/>
      <w:jc w:val="right"/>
    </w:pPr>
    <w:rPr>
      <w:rFonts w:ascii="宋体" w:hAnsi="Times New Roman" w:eastAsia="宋体" w:cs="Times New Roman"/>
      <w:kern w:val="0"/>
      <w:sz w:val="18"/>
      <w:szCs w:val="18"/>
      <w:lang w:val="en-US" w:eastAsia="zh-CN" w:bidi="ar-SA"/>
    </w:rPr>
  </w:style>
  <w:style w:type="paragraph" w:customStyle="1" w:styleId="74">
    <w:name w:val="标准书眉_奇数页"/>
    <w:next w:val="1"/>
    <w:qFormat/>
    <w:uiPriority w:val="0"/>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paragraph" w:customStyle="1" w:styleId="75">
    <w:name w:val="章标题"/>
    <w:next w:val="68"/>
    <w:qFormat/>
    <w:uiPriority w:val="0"/>
    <w:p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76">
    <w:name w:val="二级条标题"/>
    <w:basedOn w:val="72"/>
    <w:next w:val="68"/>
    <w:link w:val="77"/>
    <w:qFormat/>
    <w:uiPriority w:val="0"/>
    <w:pPr>
      <w:numPr>
        <w:ilvl w:val="0"/>
        <w:numId w:val="0"/>
      </w:numPr>
      <w:spacing w:before="50" w:after="50"/>
      <w:outlineLvl w:val="3"/>
    </w:pPr>
  </w:style>
  <w:style w:type="character" w:customStyle="1" w:styleId="77">
    <w:name w:val="二级条标题 Char"/>
    <w:basedOn w:val="43"/>
    <w:link w:val="76"/>
    <w:qFormat/>
    <w:uiPriority w:val="0"/>
    <w:rPr>
      <w:rFonts w:ascii="黑体" w:hAnsi="Times New Roman" w:eastAsia="黑体" w:cs="Times New Roman"/>
      <w:kern w:val="0"/>
      <w:szCs w:val="21"/>
    </w:rPr>
  </w:style>
  <w:style w:type="paragraph" w:customStyle="1" w:styleId="7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kern w:val="0"/>
      <w:sz w:val="28"/>
      <w:szCs w:val="28"/>
      <w:lang w:val="en-US" w:eastAsia="zh-CN" w:bidi="ar-SA"/>
    </w:rPr>
  </w:style>
  <w:style w:type="paragraph" w:customStyle="1" w:styleId="79">
    <w:name w:val="列项——（一级）"/>
    <w:qFormat/>
    <w:uiPriority w:val="0"/>
    <w:pPr>
      <w:widowControl w:val="0"/>
      <w:numPr>
        <w:ilvl w:val="0"/>
        <w:numId w:val="3"/>
      </w:numPr>
      <w:jc w:val="both"/>
    </w:pPr>
    <w:rPr>
      <w:rFonts w:ascii="宋体" w:hAnsi="Times New Roman" w:eastAsia="宋体" w:cs="Times New Roman"/>
      <w:kern w:val="0"/>
      <w:sz w:val="21"/>
      <w:szCs w:val="20"/>
      <w:lang w:val="en-US" w:eastAsia="zh-CN" w:bidi="ar-SA"/>
    </w:rPr>
  </w:style>
  <w:style w:type="paragraph" w:customStyle="1" w:styleId="80">
    <w:name w:val="列项●（二级）"/>
    <w:qFormat/>
    <w:uiPriority w:val="0"/>
    <w:pPr>
      <w:tabs>
        <w:tab w:val="left" w:pos="760"/>
        <w:tab w:val="left" w:pos="840"/>
      </w:tabs>
      <w:ind w:left="1264" w:hanging="413"/>
      <w:jc w:val="both"/>
    </w:pPr>
    <w:rPr>
      <w:rFonts w:ascii="宋体" w:hAnsi="Times New Roman" w:eastAsia="宋体" w:cs="Times New Roman"/>
      <w:kern w:val="0"/>
      <w:sz w:val="21"/>
      <w:szCs w:val="20"/>
      <w:lang w:val="en-US" w:eastAsia="zh-CN" w:bidi="ar-SA"/>
    </w:rPr>
  </w:style>
  <w:style w:type="paragraph" w:customStyle="1" w:styleId="81">
    <w:name w:val="目次、标准名称标题"/>
    <w:basedOn w:val="1"/>
    <w:next w:val="68"/>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82">
    <w:name w:val="三级条标题"/>
    <w:basedOn w:val="76"/>
    <w:next w:val="68"/>
    <w:qFormat/>
    <w:uiPriority w:val="0"/>
    <w:pPr>
      <w:numPr>
        <w:ilvl w:val="3"/>
        <w:numId w:val="4"/>
      </w:numPr>
      <w:tabs>
        <w:tab w:val="left" w:pos="2071"/>
      </w:tabs>
      <w:ind w:left="1884" w:hanging="528"/>
      <w:outlineLvl w:val="4"/>
    </w:pPr>
  </w:style>
  <w:style w:type="paragraph" w:customStyle="1" w:styleId="83">
    <w:name w:val="示例"/>
    <w:next w:val="84"/>
    <w:qFormat/>
    <w:uiPriority w:val="0"/>
    <w:pPr>
      <w:widowControl w:val="0"/>
      <w:numPr>
        <w:ilvl w:val="0"/>
        <w:numId w:val="5"/>
      </w:numPr>
      <w:jc w:val="both"/>
    </w:pPr>
    <w:rPr>
      <w:rFonts w:ascii="宋体" w:hAnsi="Times New Roman" w:eastAsia="宋体" w:cs="Times New Roman"/>
      <w:kern w:val="0"/>
      <w:sz w:val="18"/>
      <w:szCs w:val="18"/>
      <w:lang w:val="en-US" w:eastAsia="zh-CN" w:bidi="ar-SA"/>
    </w:rPr>
  </w:style>
  <w:style w:type="paragraph" w:customStyle="1" w:styleId="84">
    <w:name w:val="示例内容"/>
    <w:qFormat/>
    <w:uiPriority w:val="0"/>
    <w:pPr>
      <w:ind w:firstLine="200" w:firstLineChars="200"/>
    </w:pPr>
    <w:rPr>
      <w:rFonts w:ascii="宋体" w:hAnsi="Times New Roman" w:eastAsia="宋体" w:cs="Times New Roman"/>
      <w:kern w:val="0"/>
      <w:sz w:val="18"/>
      <w:szCs w:val="18"/>
      <w:lang w:val="en-US" w:eastAsia="zh-CN" w:bidi="ar-SA"/>
    </w:rPr>
  </w:style>
  <w:style w:type="paragraph" w:customStyle="1" w:styleId="85">
    <w:name w:val="数字编号列项（二级）"/>
    <w:qFormat/>
    <w:uiPriority w:val="0"/>
    <w:pPr>
      <w:numPr>
        <w:ilvl w:val="1"/>
        <w:numId w:val="6"/>
      </w:numPr>
      <w:jc w:val="both"/>
    </w:pPr>
    <w:rPr>
      <w:rFonts w:ascii="宋体" w:hAnsi="Times New Roman" w:eastAsia="宋体" w:cs="Times New Roman"/>
      <w:kern w:val="0"/>
      <w:sz w:val="21"/>
      <w:szCs w:val="20"/>
      <w:lang w:val="en-US" w:eastAsia="zh-CN" w:bidi="ar-SA"/>
    </w:rPr>
  </w:style>
  <w:style w:type="paragraph" w:customStyle="1" w:styleId="86">
    <w:name w:val="四级条标题"/>
    <w:basedOn w:val="82"/>
    <w:next w:val="68"/>
    <w:qFormat/>
    <w:uiPriority w:val="0"/>
    <w:pPr>
      <w:numPr>
        <w:ilvl w:val="4"/>
      </w:numPr>
      <w:tabs>
        <w:tab w:val="left" w:pos="2383"/>
      </w:tabs>
      <w:ind w:left="2196" w:hanging="528"/>
      <w:outlineLvl w:val="5"/>
    </w:pPr>
  </w:style>
  <w:style w:type="paragraph" w:customStyle="1" w:styleId="87">
    <w:name w:val="五级条标题"/>
    <w:basedOn w:val="86"/>
    <w:next w:val="68"/>
    <w:qFormat/>
    <w:uiPriority w:val="0"/>
    <w:pPr>
      <w:numPr>
        <w:ilvl w:val="5"/>
      </w:numPr>
      <w:tabs>
        <w:tab w:val="left" w:pos="2695"/>
      </w:tabs>
      <w:ind w:left="2508" w:hanging="528"/>
      <w:outlineLvl w:val="6"/>
    </w:pPr>
  </w:style>
  <w:style w:type="paragraph" w:customStyle="1" w:styleId="88">
    <w:name w:val="注："/>
    <w:next w:val="68"/>
    <w:qFormat/>
    <w:uiPriority w:val="0"/>
    <w:pPr>
      <w:widowControl w:val="0"/>
      <w:numPr>
        <w:ilvl w:val="0"/>
        <w:numId w:val="7"/>
      </w:numPr>
      <w:autoSpaceDE w:val="0"/>
      <w:autoSpaceDN w:val="0"/>
      <w:jc w:val="both"/>
    </w:pPr>
    <w:rPr>
      <w:rFonts w:ascii="宋体" w:hAnsi="Times New Roman" w:eastAsia="宋体" w:cs="Times New Roman"/>
      <w:kern w:val="0"/>
      <w:sz w:val="18"/>
      <w:szCs w:val="18"/>
      <w:lang w:val="en-US" w:eastAsia="zh-CN" w:bidi="ar-SA"/>
    </w:rPr>
  </w:style>
  <w:style w:type="paragraph" w:customStyle="1" w:styleId="89">
    <w:name w:val="注×："/>
    <w:qFormat/>
    <w:uiPriority w:val="0"/>
    <w:pPr>
      <w:widowControl w:val="0"/>
      <w:numPr>
        <w:ilvl w:val="0"/>
        <w:numId w:val="8"/>
      </w:numPr>
      <w:autoSpaceDE w:val="0"/>
      <w:autoSpaceDN w:val="0"/>
      <w:jc w:val="both"/>
    </w:pPr>
    <w:rPr>
      <w:rFonts w:ascii="宋体" w:hAnsi="Times New Roman" w:eastAsia="宋体" w:cs="Times New Roman"/>
      <w:kern w:val="0"/>
      <w:sz w:val="18"/>
      <w:szCs w:val="18"/>
      <w:lang w:val="en-US" w:eastAsia="zh-CN" w:bidi="ar-SA"/>
    </w:rPr>
  </w:style>
  <w:style w:type="paragraph" w:customStyle="1" w:styleId="90">
    <w:name w:val="字母编号列项（一级）"/>
    <w:qFormat/>
    <w:uiPriority w:val="0"/>
    <w:pPr>
      <w:numPr>
        <w:ilvl w:val="0"/>
        <w:numId w:val="6"/>
      </w:numPr>
      <w:jc w:val="both"/>
    </w:pPr>
    <w:rPr>
      <w:rFonts w:ascii="宋体" w:hAnsi="Times New Roman" w:eastAsia="宋体" w:cs="Times New Roman"/>
      <w:kern w:val="0"/>
      <w:sz w:val="21"/>
      <w:szCs w:val="20"/>
      <w:lang w:val="en-US" w:eastAsia="zh-CN" w:bidi="ar-SA"/>
    </w:rPr>
  </w:style>
  <w:style w:type="paragraph" w:customStyle="1" w:styleId="91">
    <w:name w:val="列项◆（三级）"/>
    <w:basedOn w:val="1"/>
    <w:qFormat/>
    <w:uiPriority w:val="0"/>
    <w:pPr>
      <w:numPr>
        <w:ilvl w:val="2"/>
        <w:numId w:val="3"/>
      </w:numPr>
    </w:pPr>
    <w:rPr>
      <w:rFonts w:ascii="宋体" w:hAnsi="Times New Roman" w:cs="Times New Roman"/>
      <w:szCs w:val="21"/>
    </w:rPr>
  </w:style>
  <w:style w:type="paragraph" w:customStyle="1" w:styleId="92">
    <w:name w:val="编号列项（三级）"/>
    <w:qFormat/>
    <w:uiPriority w:val="0"/>
    <w:pPr>
      <w:tabs>
        <w:tab w:val="left" w:pos="0"/>
      </w:tabs>
      <w:ind w:left="1679" w:hanging="420"/>
    </w:pPr>
    <w:rPr>
      <w:rFonts w:ascii="宋体" w:hAnsi="Times New Roman" w:eastAsia="宋体" w:cs="Times New Roman"/>
      <w:kern w:val="0"/>
      <w:sz w:val="21"/>
      <w:szCs w:val="20"/>
      <w:lang w:val="en-US" w:eastAsia="zh-CN" w:bidi="ar-SA"/>
    </w:rPr>
  </w:style>
  <w:style w:type="paragraph" w:customStyle="1" w:styleId="93">
    <w:name w:val="示例×："/>
    <w:basedOn w:val="75"/>
    <w:qFormat/>
    <w:uiPriority w:val="0"/>
    <w:pPr>
      <w:numPr>
        <w:ilvl w:val="0"/>
        <w:numId w:val="9"/>
      </w:numPr>
      <w:spacing w:beforeLines="0" w:afterLines="0"/>
      <w:outlineLvl w:val="9"/>
    </w:pPr>
    <w:rPr>
      <w:rFonts w:ascii="宋体" w:eastAsia="宋体"/>
      <w:sz w:val="18"/>
      <w:szCs w:val="18"/>
    </w:rPr>
  </w:style>
  <w:style w:type="paragraph" w:customStyle="1" w:styleId="94">
    <w:name w:val="二级无"/>
    <w:basedOn w:val="76"/>
    <w:qFormat/>
    <w:uiPriority w:val="0"/>
    <w:pPr>
      <w:spacing w:beforeLines="0" w:afterLines="0"/>
    </w:pPr>
    <w:rPr>
      <w:rFonts w:ascii="宋体" w:eastAsia="宋体"/>
    </w:rPr>
  </w:style>
  <w:style w:type="paragraph" w:customStyle="1" w:styleId="95">
    <w:name w:val="注：（正文）"/>
    <w:basedOn w:val="88"/>
    <w:next w:val="68"/>
    <w:qFormat/>
    <w:uiPriority w:val="0"/>
  </w:style>
  <w:style w:type="paragraph" w:customStyle="1" w:styleId="96">
    <w:name w:val="注×：（正文）"/>
    <w:qFormat/>
    <w:uiPriority w:val="0"/>
    <w:pPr>
      <w:numPr>
        <w:ilvl w:val="0"/>
        <w:numId w:val="10"/>
      </w:numPr>
      <w:jc w:val="both"/>
    </w:pPr>
    <w:rPr>
      <w:rFonts w:ascii="宋体" w:hAnsi="Times New Roman" w:eastAsia="宋体" w:cs="Times New Roman"/>
      <w:kern w:val="0"/>
      <w:sz w:val="18"/>
      <w:szCs w:val="18"/>
      <w:lang w:val="en-US" w:eastAsia="zh-CN" w:bidi="ar-SA"/>
    </w:rPr>
  </w:style>
  <w:style w:type="paragraph" w:customStyle="1" w:styleId="9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kern w:val="0"/>
      <w:sz w:val="96"/>
      <w:szCs w:val="96"/>
      <w:lang w:val="en-US" w:eastAsia="zh-CN" w:bidi="ar-SA"/>
    </w:rPr>
  </w:style>
  <w:style w:type="paragraph" w:customStyle="1" w:styleId="9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kern w:val="0"/>
      <w:sz w:val="48"/>
      <w:szCs w:val="20"/>
      <w:lang w:val="en-US" w:eastAsia="zh-CN" w:bidi="ar-SA"/>
    </w:rPr>
  </w:style>
  <w:style w:type="paragraph" w:customStyle="1" w:styleId="99">
    <w:name w:val="标准书脚_偶数页"/>
    <w:qFormat/>
    <w:uiPriority w:val="0"/>
    <w:pPr>
      <w:spacing w:before="120"/>
      <w:ind w:left="221"/>
    </w:pPr>
    <w:rPr>
      <w:rFonts w:ascii="宋体" w:hAnsi="Times New Roman" w:eastAsia="宋体" w:cs="Times New Roman"/>
      <w:kern w:val="0"/>
      <w:sz w:val="18"/>
      <w:szCs w:val="18"/>
      <w:lang w:val="en-US" w:eastAsia="zh-CN" w:bidi="ar-SA"/>
    </w:rPr>
  </w:style>
  <w:style w:type="paragraph" w:customStyle="1" w:styleId="100">
    <w:name w:val="标准书眉_偶数页"/>
    <w:basedOn w:val="74"/>
    <w:next w:val="1"/>
    <w:qFormat/>
    <w:uiPriority w:val="0"/>
    <w:pPr>
      <w:jc w:val="left"/>
    </w:pPr>
  </w:style>
  <w:style w:type="paragraph" w:customStyle="1" w:styleId="101">
    <w:name w:val="标准书眉一"/>
    <w:qFormat/>
    <w:uiPriority w:val="0"/>
    <w:pPr>
      <w:jc w:val="both"/>
    </w:pPr>
    <w:rPr>
      <w:rFonts w:ascii="Times New Roman" w:hAnsi="Times New Roman" w:eastAsia="宋体" w:cs="Times New Roman"/>
      <w:kern w:val="0"/>
      <w:sz w:val="20"/>
      <w:szCs w:val="20"/>
      <w:lang w:val="en-US" w:eastAsia="zh-CN" w:bidi="ar-SA"/>
    </w:rPr>
  </w:style>
  <w:style w:type="paragraph" w:customStyle="1" w:styleId="102">
    <w:name w:val="参考文献"/>
    <w:basedOn w:val="1"/>
    <w:next w:val="68"/>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03">
    <w:name w:val="参考文献、索引标题"/>
    <w:basedOn w:val="1"/>
    <w:next w:val="68"/>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104">
    <w:name w:val="发布"/>
    <w:qFormat/>
    <w:uiPriority w:val="0"/>
    <w:rPr>
      <w:rFonts w:ascii="黑体" w:eastAsia="黑体"/>
      <w:spacing w:val="85"/>
      <w:w w:val="100"/>
      <w:position w:val="3"/>
      <w:sz w:val="28"/>
      <w:szCs w:val="28"/>
    </w:rPr>
  </w:style>
  <w:style w:type="paragraph" w:customStyle="1" w:styleId="105">
    <w:name w:val="发布部门"/>
    <w:next w:val="6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kern w:val="0"/>
      <w:sz w:val="28"/>
      <w:szCs w:val="20"/>
      <w:lang w:val="en-US" w:eastAsia="zh-CN" w:bidi="ar-SA"/>
    </w:rPr>
  </w:style>
  <w:style w:type="paragraph" w:customStyle="1" w:styleId="106">
    <w:name w:val="发布日期"/>
    <w:qFormat/>
    <w:uiPriority w:val="0"/>
    <w:pPr>
      <w:framePr w:w="3997" w:h="471" w:hRule="exact" w:vSpace="181" w:wrap="around" w:vAnchor="margin" w:hAnchor="page" w:x="7089" w:y="14097" w:anchorLock="1"/>
    </w:pPr>
    <w:rPr>
      <w:rFonts w:ascii="Times New Roman" w:hAnsi="Times New Roman" w:eastAsia="黑体" w:cs="Times New Roman"/>
      <w:kern w:val="0"/>
      <w:sz w:val="28"/>
      <w:szCs w:val="20"/>
      <w:lang w:val="en-US" w:eastAsia="zh-CN" w:bidi="ar-SA"/>
    </w:rPr>
  </w:style>
  <w:style w:type="paragraph" w:customStyle="1" w:styleId="10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kern w:val="0"/>
      <w:sz w:val="21"/>
      <w:szCs w:val="21"/>
      <w:lang w:val="en-US" w:eastAsia="zh-CN" w:bidi="ar-SA"/>
    </w:rPr>
  </w:style>
  <w:style w:type="paragraph" w:customStyle="1" w:styleId="10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10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10">
    <w:name w:val="封面标准英文名称"/>
    <w:basedOn w:val="109"/>
    <w:qFormat/>
    <w:uiPriority w:val="0"/>
    <w:pPr>
      <w:spacing w:before="370" w:line="400" w:lineRule="exact"/>
    </w:pPr>
    <w:rPr>
      <w:rFonts w:ascii="Times New Roman"/>
      <w:sz w:val="28"/>
      <w:szCs w:val="28"/>
    </w:rPr>
  </w:style>
  <w:style w:type="paragraph" w:customStyle="1" w:styleId="111">
    <w:name w:val="封面一致性程度标识"/>
    <w:basedOn w:val="110"/>
    <w:qFormat/>
    <w:uiPriority w:val="0"/>
    <w:pPr>
      <w:spacing w:before="440"/>
    </w:pPr>
    <w:rPr>
      <w:rFonts w:ascii="宋体" w:eastAsia="宋体"/>
    </w:rPr>
  </w:style>
  <w:style w:type="paragraph" w:customStyle="1" w:styleId="112">
    <w:name w:val="封面标准文稿类别"/>
    <w:basedOn w:val="111"/>
    <w:qFormat/>
    <w:uiPriority w:val="0"/>
    <w:pPr>
      <w:spacing w:after="160" w:line="240" w:lineRule="auto"/>
    </w:pPr>
    <w:rPr>
      <w:sz w:val="24"/>
    </w:rPr>
  </w:style>
  <w:style w:type="paragraph" w:customStyle="1" w:styleId="113">
    <w:name w:val="封面标准文稿编辑信息"/>
    <w:basedOn w:val="112"/>
    <w:qFormat/>
    <w:uiPriority w:val="0"/>
    <w:pPr>
      <w:spacing w:before="180" w:line="180" w:lineRule="exact"/>
    </w:pPr>
    <w:rPr>
      <w:sz w:val="21"/>
    </w:rPr>
  </w:style>
  <w:style w:type="paragraph" w:customStyle="1" w:styleId="114">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115">
    <w:name w:val="附录标识"/>
    <w:basedOn w:val="1"/>
    <w:next w:val="68"/>
    <w:qFormat/>
    <w:uiPriority w:val="0"/>
    <w:pPr>
      <w:keepNext/>
      <w:widowControl/>
      <w:numPr>
        <w:ilvl w:val="0"/>
        <w:numId w:val="11"/>
      </w:numPr>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116">
    <w:name w:val="附录标题"/>
    <w:basedOn w:val="68"/>
    <w:next w:val="68"/>
    <w:qFormat/>
    <w:uiPriority w:val="0"/>
    <w:pPr>
      <w:jc w:val="center"/>
    </w:pPr>
    <w:rPr>
      <w:rFonts w:ascii="黑体" w:eastAsia="黑体"/>
    </w:rPr>
  </w:style>
  <w:style w:type="paragraph" w:customStyle="1" w:styleId="117">
    <w:name w:val="附录表标号"/>
    <w:basedOn w:val="1"/>
    <w:next w:val="68"/>
    <w:qFormat/>
    <w:uiPriority w:val="0"/>
    <w:pPr>
      <w:numPr>
        <w:ilvl w:val="0"/>
        <w:numId w:val="12"/>
      </w:numPr>
      <w:tabs>
        <w:tab w:val="clear" w:pos="0"/>
      </w:tabs>
      <w:spacing w:line="14" w:lineRule="exact"/>
      <w:ind w:left="811" w:hanging="448"/>
      <w:jc w:val="center"/>
      <w:outlineLvl w:val="0"/>
    </w:pPr>
    <w:rPr>
      <w:rFonts w:ascii="Times New Roman" w:hAnsi="Times New Roman" w:cs="Times New Roman"/>
      <w:color w:val="FFFFFF"/>
      <w:szCs w:val="24"/>
    </w:rPr>
  </w:style>
  <w:style w:type="paragraph" w:customStyle="1" w:styleId="118">
    <w:name w:val="附录表标题"/>
    <w:basedOn w:val="1"/>
    <w:next w:val="68"/>
    <w:qFormat/>
    <w:uiPriority w:val="0"/>
    <w:pPr>
      <w:numPr>
        <w:ilvl w:val="1"/>
        <w:numId w:val="12"/>
      </w:numPr>
      <w:spacing w:beforeLines="50" w:afterLines="50"/>
      <w:jc w:val="center"/>
    </w:pPr>
    <w:rPr>
      <w:rFonts w:ascii="黑体" w:hAnsi="Times New Roman" w:eastAsia="黑体" w:cs="Times New Roman"/>
      <w:szCs w:val="21"/>
    </w:rPr>
  </w:style>
  <w:style w:type="paragraph" w:customStyle="1" w:styleId="119">
    <w:name w:val="附录二级条标题"/>
    <w:basedOn w:val="1"/>
    <w:next w:val="68"/>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120">
    <w:name w:val="附录二级无"/>
    <w:basedOn w:val="119"/>
    <w:qFormat/>
    <w:uiPriority w:val="0"/>
    <w:pPr>
      <w:tabs>
        <w:tab w:val="clear" w:pos="360"/>
      </w:tabs>
      <w:spacing w:beforeLines="0" w:afterLines="0"/>
    </w:pPr>
    <w:rPr>
      <w:rFonts w:ascii="宋体" w:eastAsia="宋体"/>
      <w:szCs w:val="21"/>
    </w:rPr>
  </w:style>
  <w:style w:type="paragraph" w:customStyle="1" w:styleId="121">
    <w:name w:val="附录公式"/>
    <w:basedOn w:val="68"/>
    <w:next w:val="68"/>
    <w:link w:val="122"/>
    <w:qFormat/>
    <w:uiPriority w:val="0"/>
  </w:style>
  <w:style w:type="character" w:customStyle="1" w:styleId="122">
    <w:name w:val="附录公式 Char"/>
    <w:link w:val="121"/>
    <w:qFormat/>
    <w:uiPriority w:val="0"/>
    <w:rPr>
      <w:rFonts w:ascii="宋体" w:hAnsi="Times New Roman" w:cs="Times New Roman"/>
      <w:kern w:val="0"/>
      <w:szCs w:val="20"/>
    </w:rPr>
  </w:style>
  <w:style w:type="paragraph" w:customStyle="1" w:styleId="123">
    <w:name w:val="附录公式编号制表符"/>
    <w:basedOn w:val="1"/>
    <w:next w:val="68"/>
    <w:qFormat/>
    <w:uiPriority w:val="0"/>
    <w:pPr>
      <w:widowControl/>
      <w:tabs>
        <w:tab w:val="center" w:pos="4201"/>
        <w:tab w:val="right" w:leader="dot" w:pos="9298"/>
      </w:tabs>
      <w:autoSpaceDE w:val="0"/>
      <w:autoSpaceDN w:val="0"/>
    </w:pPr>
    <w:rPr>
      <w:rFonts w:ascii="宋体" w:hAnsi="Times New Roman" w:cs="Times New Roman"/>
      <w:kern w:val="0"/>
      <w:szCs w:val="20"/>
    </w:rPr>
  </w:style>
  <w:style w:type="paragraph" w:customStyle="1" w:styleId="124">
    <w:name w:val="附录三级条标题"/>
    <w:basedOn w:val="119"/>
    <w:next w:val="68"/>
    <w:qFormat/>
    <w:uiPriority w:val="0"/>
    <w:pPr>
      <w:numPr>
        <w:ilvl w:val="4"/>
      </w:numPr>
      <w:outlineLvl w:val="4"/>
    </w:pPr>
  </w:style>
  <w:style w:type="paragraph" w:customStyle="1" w:styleId="125">
    <w:name w:val="附录三级无"/>
    <w:basedOn w:val="124"/>
    <w:qFormat/>
    <w:uiPriority w:val="0"/>
    <w:pPr>
      <w:tabs>
        <w:tab w:val="clear" w:pos="360"/>
      </w:tabs>
      <w:spacing w:beforeLines="0" w:afterLines="0"/>
    </w:pPr>
    <w:rPr>
      <w:rFonts w:ascii="宋体" w:eastAsia="宋体"/>
      <w:szCs w:val="21"/>
    </w:rPr>
  </w:style>
  <w:style w:type="paragraph" w:customStyle="1" w:styleId="126">
    <w:name w:val="附录数字编号列项（二级）"/>
    <w:qFormat/>
    <w:uiPriority w:val="0"/>
    <w:pPr>
      <w:numPr>
        <w:ilvl w:val="1"/>
        <w:numId w:val="13"/>
      </w:numPr>
    </w:pPr>
    <w:rPr>
      <w:rFonts w:ascii="宋体" w:hAnsi="Times New Roman" w:eastAsia="宋体" w:cs="Times New Roman"/>
      <w:kern w:val="0"/>
      <w:sz w:val="21"/>
      <w:szCs w:val="20"/>
      <w:lang w:val="en-US" w:eastAsia="zh-CN" w:bidi="ar-SA"/>
    </w:rPr>
  </w:style>
  <w:style w:type="paragraph" w:customStyle="1" w:styleId="127">
    <w:name w:val="附录四级条标题"/>
    <w:basedOn w:val="124"/>
    <w:next w:val="68"/>
    <w:qFormat/>
    <w:uiPriority w:val="0"/>
    <w:pPr>
      <w:numPr>
        <w:ilvl w:val="0"/>
        <w:numId w:val="0"/>
      </w:numPr>
      <w:outlineLvl w:val="5"/>
    </w:pPr>
  </w:style>
  <w:style w:type="paragraph" w:customStyle="1" w:styleId="128">
    <w:name w:val="附录四级无"/>
    <w:basedOn w:val="127"/>
    <w:uiPriority w:val="0"/>
    <w:pPr>
      <w:tabs>
        <w:tab w:val="clear" w:pos="360"/>
      </w:tabs>
      <w:spacing w:beforeLines="0" w:afterLines="0"/>
    </w:pPr>
    <w:rPr>
      <w:rFonts w:ascii="宋体" w:eastAsia="宋体"/>
      <w:szCs w:val="21"/>
    </w:rPr>
  </w:style>
  <w:style w:type="paragraph" w:customStyle="1" w:styleId="129">
    <w:name w:val="附录图标号"/>
    <w:basedOn w:val="1"/>
    <w:qFormat/>
    <w:uiPriority w:val="0"/>
    <w:pPr>
      <w:keepNext/>
      <w:pageBreakBefore/>
      <w:widowControl/>
      <w:numPr>
        <w:ilvl w:val="0"/>
        <w:numId w:val="14"/>
      </w:numPr>
      <w:spacing w:line="14" w:lineRule="exact"/>
      <w:ind w:left="0" w:firstLine="363"/>
      <w:jc w:val="center"/>
      <w:outlineLvl w:val="0"/>
    </w:pPr>
    <w:rPr>
      <w:rFonts w:ascii="Times New Roman" w:hAnsi="Times New Roman" w:cs="Times New Roman"/>
      <w:color w:val="FFFFFF"/>
      <w:szCs w:val="24"/>
    </w:rPr>
  </w:style>
  <w:style w:type="paragraph" w:customStyle="1" w:styleId="130">
    <w:name w:val="附录图标题"/>
    <w:basedOn w:val="1"/>
    <w:next w:val="68"/>
    <w:qFormat/>
    <w:uiPriority w:val="0"/>
    <w:pPr>
      <w:numPr>
        <w:ilvl w:val="1"/>
        <w:numId w:val="14"/>
      </w:numPr>
      <w:tabs>
        <w:tab w:val="left" w:pos="363"/>
      </w:tabs>
      <w:spacing w:beforeLines="50" w:afterLines="50"/>
      <w:ind w:left="0" w:firstLine="0"/>
      <w:jc w:val="center"/>
    </w:pPr>
    <w:rPr>
      <w:rFonts w:ascii="黑体" w:hAnsi="Times New Roman" w:eastAsia="黑体" w:cs="Times New Roman"/>
      <w:szCs w:val="21"/>
    </w:rPr>
  </w:style>
  <w:style w:type="paragraph" w:customStyle="1" w:styleId="131">
    <w:name w:val="附录五级条标题"/>
    <w:basedOn w:val="127"/>
    <w:next w:val="68"/>
    <w:qFormat/>
    <w:uiPriority w:val="0"/>
    <w:pPr>
      <w:numPr>
        <w:ilvl w:val="6"/>
      </w:numPr>
      <w:outlineLvl w:val="6"/>
    </w:pPr>
  </w:style>
  <w:style w:type="paragraph" w:customStyle="1" w:styleId="132">
    <w:name w:val="附录五级无"/>
    <w:basedOn w:val="131"/>
    <w:qFormat/>
    <w:uiPriority w:val="0"/>
    <w:pPr>
      <w:tabs>
        <w:tab w:val="clear" w:pos="360"/>
      </w:tabs>
      <w:spacing w:beforeLines="0" w:afterLines="0"/>
    </w:pPr>
    <w:rPr>
      <w:rFonts w:ascii="宋体" w:eastAsia="宋体"/>
      <w:szCs w:val="21"/>
    </w:rPr>
  </w:style>
  <w:style w:type="paragraph" w:customStyle="1" w:styleId="133">
    <w:name w:val="附录章标题"/>
    <w:next w:val="68"/>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134">
    <w:name w:val="附录一级条标题"/>
    <w:basedOn w:val="133"/>
    <w:next w:val="68"/>
    <w:qFormat/>
    <w:uiPriority w:val="0"/>
    <w:pPr>
      <w:autoSpaceDN w:val="0"/>
      <w:spacing w:beforeLines="50" w:afterLines="50"/>
      <w:outlineLvl w:val="2"/>
    </w:pPr>
  </w:style>
  <w:style w:type="paragraph" w:customStyle="1" w:styleId="135">
    <w:name w:val="附录一级无"/>
    <w:basedOn w:val="134"/>
    <w:qFormat/>
    <w:uiPriority w:val="0"/>
    <w:pPr>
      <w:tabs>
        <w:tab w:val="clear" w:pos="360"/>
      </w:tabs>
      <w:spacing w:beforeLines="0" w:afterLines="0"/>
    </w:pPr>
    <w:rPr>
      <w:rFonts w:ascii="宋体" w:eastAsia="宋体"/>
      <w:szCs w:val="21"/>
    </w:rPr>
  </w:style>
  <w:style w:type="paragraph" w:customStyle="1" w:styleId="136">
    <w:name w:val="附录字母编号列项（一级）"/>
    <w:qFormat/>
    <w:uiPriority w:val="0"/>
    <w:pPr>
      <w:numPr>
        <w:ilvl w:val="0"/>
        <w:numId w:val="13"/>
      </w:numPr>
    </w:pPr>
    <w:rPr>
      <w:rFonts w:ascii="宋体" w:hAnsi="Times New Roman" w:eastAsia="宋体" w:cs="Times New Roman"/>
      <w:kern w:val="0"/>
      <w:sz w:val="21"/>
      <w:szCs w:val="20"/>
      <w:lang w:val="en-US" w:eastAsia="zh-CN" w:bidi="ar-SA"/>
    </w:rPr>
  </w:style>
  <w:style w:type="paragraph" w:customStyle="1" w:styleId="137">
    <w:name w:val="列项说明"/>
    <w:basedOn w:val="1"/>
    <w:qFormat/>
    <w:uiPriority w:val="0"/>
    <w:pPr>
      <w:adjustRightInd w:val="0"/>
      <w:spacing w:line="320" w:lineRule="exact"/>
      <w:ind w:left="400" w:leftChars="200" w:hanging="200" w:hangingChars="200"/>
      <w:jc w:val="left"/>
      <w:textAlignment w:val="baseline"/>
    </w:pPr>
    <w:rPr>
      <w:rFonts w:ascii="宋体" w:hAnsi="Times New Roman" w:cs="Times New Roman"/>
      <w:kern w:val="0"/>
      <w:szCs w:val="20"/>
    </w:rPr>
  </w:style>
  <w:style w:type="paragraph" w:customStyle="1" w:styleId="138">
    <w:name w:val="列项说明数字编号"/>
    <w:uiPriority w:val="0"/>
    <w:pPr>
      <w:ind w:left="600" w:leftChars="400" w:hanging="200" w:hangingChars="200"/>
    </w:pPr>
    <w:rPr>
      <w:rFonts w:ascii="宋体" w:hAnsi="Times New Roman" w:eastAsia="宋体" w:cs="Times New Roman"/>
      <w:kern w:val="0"/>
      <w:sz w:val="21"/>
      <w:szCs w:val="20"/>
      <w:lang w:val="en-US" w:eastAsia="zh-CN" w:bidi="ar-SA"/>
    </w:rPr>
  </w:style>
  <w:style w:type="paragraph" w:customStyle="1" w:styleId="139">
    <w:name w:val="目次、索引正文"/>
    <w:qFormat/>
    <w:uiPriority w:val="0"/>
    <w:pPr>
      <w:spacing w:line="320" w:lineRule="exact"/>
      <w:jc w:val="both"/>
    </w:pPr>
    <w:rPr>
      <w:rFonts w:ascii="宋体" w:hAnsi="Times New Roman" w:eastAsia="宋体" w:cs="Times New Roman"/>
      <w:kern w:val="0"/>
      <w:sz w:val="21"/>
      <w:szCs w:val="20"/>
      <w:lang w:val="en-US" w:eastAsia="zh-CN" w:bidi="ar-SA"/>
    </w:rPr>
  </w:style>
  <w:style w:type="paragraph" w:customStyle="1" w:styleId="140">
    <w:name w:val="_Style 84"/>
    <w:basedOn w:val="1"/>
    <w:next w:val="67"/>
    <w:qFormat/>
    <w:uiPriority w:val="34"/>
    <w:pPr>
      <w:ind w:firstLine="420" w:firstLineChars="200"/>
    </w:pPr>
    <w:rPr>
      <w:rFonts w:ascii="Times New Roman" w:hAnsi="Times New Roman" w:cs="Times New Roman"/>
      <w:szCs w:val="24"/>
    </w:rPr>
  </w:style>
  <w:style w:type="paragraph" w:customStyle="1" w:styleId="141">
    <w:name w:val="其他标准标志"/>
    <w:basedOn w:val="97"/>
    <w:qFormat/>
    <w:uiPriority w:val="0"/>
    <w:pPr>
      <w:framePr w:w="6101" w:vAnchor="page" w:hAnchor="page" w:x="4673" w:y="942"/>
    </w:pPr>
    <w:rPr>
      <w:w w:val="130"/>
    </w:rPr>
  </w:style>
  <w:style w:type="paragraph" w:customStyle="1" w:styleId="14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kern w:val="0"/>
      <w:sz w:val="48"/>
      <w:szCs w:val="52"/>
      <w:lang w:val="en-US" w:eastAsia="zh-CN" w:bidi="ar-SA"/>
    </w:rPr>
  </w:style>
  <w:style w:type="paragraph" w:customStyle="1" w:styleId="143">
    <w:name w:val="其他发布部门"/>
    <w:basedOn w:val="105"/>
    <w:qFormat/>
    <w:uiPriority w:val="0"/>
    <w:pPr>
      <w:framePr w:y="15310"/>
      <w:spacing w:line="0" w:lineRule="atLeast"/>
    </w:pPr>
    <w:rPr>
      <w:rFonts w:ascii="黑体" w:eastAsia="黑体"/>
      <w:b w:val="0"/>
    </w:rPr>
  </w:style>
  <w:style w:type="paragraph" w:customStyle="1" w:styleId="144">
    <w:name w:val="前言、引言标题"/>
    <w:next w:val="68"/>
    <w:qFormat/>
    <w:uiPriority w:val="0"/>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145">
    <w:name w:val="三级无"/>
    <w:basedOn w:val="82"/>
    <w:qFormat/>
    <w:uiPriority w:val="0"/>
    <w:pPr>
      <w:spacing w:beforeLines="0" w:afterLines="0"/>
    </w:pPr>
    <w:rPr>
      <w:rFonts w:ascii="宋体" w:eastAsia="宋体"/>
    </w:rPr>
  </w:style>
  <w:style w:type="paragraph" w:customStyle="1" w:styleId="146">
    <w:name w:val="实施日期"/>
    <w:basedOn w:val="106"/>
    <w:qFormat/>
    <w:uiPriority w:val="0"/>
    <w:pPr>
      <w:framePr w:vAnchor="page" w:hAnchor="text"/>
      <w:jc w:val="right"/>
    </w:pPr>
  </w:style>
  <w:style w:type="paragraph" w:customStyle="1" w:styleId="147">
    <w:name w:val="示例后文字"/>
    <w:basedOn w:val="68"/>
    <w:next w:val="68"/>
    <w:qFormat/>
    <w:uiPriority w:val="0"/>
    <w:pPr>
      <w:ind w:firstLine="360"/>
    </w:pPr>
    <w:rPr>
      <w:sz w:val="18"/>
    </w:rPr>
  </w:style>
  <w:style w:type="paragraph" w:customStyle="1" w:styleId="148">
    <w:name w:val="首示例"/>
    <w:next w:val="68"/>
    <w:link w:val="149"/>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49">
    <w:name w:val="首示例 Char"/>
    <w:link w:val="148"/>
    <w:qFormat/>
    <w:uiPriority w:val="0"/>
    <w:rPr>
      <w:rFonts w:ascii="宋体" w:hAnsi="宋体" w:cs="Times New Roman"/>
      <w:sz w:val="18"/>
      <w:szCs w:val="18"/>
    </w:rPr>
  </w:style>
  <w:style w:type="paragraph" w:customStyle="1" w:styleId="150">
    <w:name w:val="四级无"/>
    <w:basedOn w:val="86"/>
    <w:qFormat/>
    <w:uiPriority w:val="0"/>
    <w:pPr>
      <w:spacing w:beforeLines="0" w:afterLines="0"/>
    </w:pPr>
    <w:rPr>
      <w:rFonts w:ascii="宋体" w:eastAsia="宋体"/>
    </w:rPr>
  </w:style>
  <w:style w:type="paragraph" w:customStyle="1" w:styleId="151">
    <w:name w:val="条文脚注"/>
    <w:basedOn w:val="31"/>
    <w:qFormat/>
    <w:uiPriority w:val="0"/>
    <w:pPr>
      <w:numPr>
        <w:numId w:val="0"/>
      </w:numPr>
      <w:jc w:val="both"/>
    </w:pPr>
  </w:style>
  <w:style w:type="paragraph" w:customStyle="1" w:styleId="152">
    <w:name w:val="图标脚注说明"/>
    <w:basedOn w:val="68"/>
    <w:qFormat/>
    <w:uiPriority w:val="0"/>
    <w:pPr>
      <w:ind w:left="840" w:hanging="420"/>
    </w:pPr>
    <w:rPr>
      <w:sz w:val="18"/>
      <w:szCs w:val="18"/>
    </w:rPr>
  </w:style>
  <w:style w:type="paragraph" w:customStyle="1" w:styleId="153">
    <w:name w:val="图表脚注说明"/>
    <w:basedOn w:val="1"/>
    <w:qFormat/>
    <w:uiPriority w:val="0"/>
    <w:pPr>
      <w:numPr>
        <w:ilvl w:val="0"/>
        <w:numId w:val="16"/>
      </w:numPr>
    </w:pPr>
    <w:rPr>
      <w:rFonts w:ascii="宋体" w:hAnsi="Times New Roman" w:cs="Times New Roman"/>
      <w:sz w:val="18"/>
      <w:szCs w:val="18"/>
    </w:rPr>
  </w:style>
  <w:style w:type="paragraph" w:customStyle="1" w:styleId="154">
    <w:name w:val="图的脚注"/>
    <w:next w:val="68"/>
    <w:qFormat/>
    <w:uiPriority w:val="0"/>
    <w:pPr>
      <w:widowControl w:val="0"/>
      <w:ind w:left="840" w:leftChars="200" w:hanging="420" w:hangingChars="200"/>
      <w:jc w:val="both"/>
    </w:pPr>
    <w:rPr>
      <w:rFonts w:ascii="宋体" w:hAnsi="Times New Roman" w:eastAsia="宋体" w:cs="Times New Roman"/>
      <w:kern w:val="0"/>
      <w:sz w:val="18"/>
      <w:szCs w:val="20"/>
      <w:lang w:val="en-US" w:eastAsia="zh-CN" w:bidi="ar-SA"/>
    </w:rPr>
  </w:style>
  <w:style w:type="paragraph" w:customStyle="1" w:styleId="15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kern w:val="0"/>
      <w:sz w:val="21"/>
      <w:szCs w:val="21"/>
      <w:lang w:val="en-US" w:eastAsia="zh-CN" w:bidi="ar-SA"/>
    </w:rPr>
  </w:style>
  <w:style w:type="paragraph" w:customStyle="1" w:styleId="156">
    <w:name w:val="五级无"/>
    <w:basedOn w:val="87"/>
    <w:qFormat/>
    <w:uiPriority w:val="0"/>
    <w:pPr>
      <w:spacing w:beforeLines="0" w:afterLines="0"/>
    </w:pPr>
    <w:rPr>
      <w:rFonts w:ascii="宋体" w:eastAsia="宋体"/>
    </w:rPr>
  </w:style>
  <w:style w:type="paragraph" w:customStyle="1" w:styleId="157">
    <w:name w:val="一级无"/>
    <w:basedOn w:val="72"/>
    <w:qFormat/>
    <w:uiPriority w:val="0"/>
    <w:pPr>
      <w:spacing w:beforeLines="0" w:afterLines="0"/>
    </w:pPr>
    <w:rPr>
      <w:rFonts w:ascii="宋体" w:eastAsia="宋体"/>
    </w:rPr>
  </w:style>
  <w:style w:type="character" w:customStyle="1" w:styleId="158">
    <w:name w:val="已访问的超链接1"/>
    <w:qFormat/>
    <w:uiPriority w:val="0"/>
    <w:rPr>
      <w:color w:val="800080"/>
      <w:u w:val="single"/>
    </w:rPr>
  </w:style>
  <w:style w:type="paragraph" w:customStyle="1" w:styleId="159">
    <w:name w:val="正文表标题"/>
    <w:next w:val="68"/>
    <w:qFormat/>
    <w:uiPriority w:val="0"/>
    <w:pPr>
      <w:numPr>
        <w:ilvl w:val="0"/>
        <w:numId w:val="17"/>
      </w:numPr>
      <w:tabs>
        <w:tab w:val="left" w:pos="360"/>
      </w:tabs>
      <w:spacing w:beforeLines="50" w:afterLines="50"/>
      <w:jc w:val="center"/>
    </w:pPr>
    <w:rPr>
      <w:rFonts w:ascii="黑体" w:hAnsi="Times New Roman" w:eastAsia="黑体" w:cs="Times New Roman"/>
      <w:kern w:val="0"/>
      <w:sz w:val="21"/>
      <w:szCs w:val="20"/>
      <w:lang w:val="en-US" w:eastAsia="zh-CN" w:bidi="ar-SA"/>
    </w:rPr>
  </w:style>
  <w:style w:type="paragraph" w:customStyle="1" w:styleId="160">
    <w:name w:val="正文公式编号制表符"/>
    <w:basedOn w:val="68"/>
    <w:next w:val="68"/>
    <w:qFormat/>
    <w:uiPriority w:val="0"/>
  </w:style>
  <w:style w:type="paragraph" w:customStyle="1" w:styleId="161">
    <w:name w:val="正文图标题"/>
    <w:next w:val="68"/>
    <w:qFormat/>
    <w:uiPriority w:val="0"/>
    <w:pPr>
      <w:numPr>
        <w:ilvl w:val="0"/>
        <w:numId w:val="18"/>
      </w:numPr>
      <w:tabs>
        <w:tab w:val="left" w:pos="360"/>
      </w:tabs>
      <w:spacing w:beforeLines="50" w:afterLines="50"/>
      <w:jc w:val="center"/>
    </w:pPr>
    <w:rPr>
      <w:rFonts w:ascii="黑体" w:hAnsi="Times New Roman" w:eastAsia="黑体" w:cs="Times New Roman"/>
      <w:kern w:val="0"/>
      <w:sz w:val="21"/>
      <w:szCs w:val="20"/>
      <w:lang w:val="en-US" w:eastAsia="zh-CN" w:bidi="ar-SA"/>
    </w:rPr>
  </w:style>
  <w:style w:type="paragraph" w:customStyle="1" w:styleId="162">
    <w:name w:val="终结线"/>
    <w:basedOn w:val="1"/>
    <w:qFormat/>
    <w:uiPriority w:val="0"/>
    <w:pPr>
      <w:framePr w:hSpace="181" w:vSpace="181" w:wrap="around" w:vAnchor="text" w:hAnchor="margin" w:xAlign="center" w:y="285"/>
    </w:pPr>
    <w:rPr>
      <w:rFonts w:ascii="Times New Roman" w:hAnsi="Times New Roman" w:cs="Times New Roman"/>
      <w:szCs w:val="24"/>
    </w:rPr>
  </w:style>
  <w:style w:type="paragraph" w:customStyle="1" w:styleId="163">
    <w:name w:val="其他发布日期"/>
    <w:basedOn w:val="106"/>
    <w:qFormat/>
    <w:uiPriority w:val="0"/>
    <w:pPr>
      <w:framePr w:vAnchor="page" w:hAnchor="text" w:x="1419"/>
    </w:pPr>
  </w:style>
  <w:style w:type="paragraph" w:customStyle="1" w:styleId="164">
    <w:name w:val="其他实施日期"/>
    <w:basedOn w:val="146"/>
    <w:qFormat/>
    <w:uiPriority w:val="0"/>
  </w:style>
  <w:style w:type="paragraph" w:customStyle="1" w:styleId="165">
    <w:name w:val="封面标准名称2"/>
    <w:basedOn w:val="109"/>
    <w:qFormat/>
    <w:uiPriority w:val="0"/>
    <w:pPr>
      <w:framePr w:y="4469"/>
      <w:spacing w:beforeLines="630"/>
    </w:pPr>
  </w:style>
  <w:style w:type="paragraph" w:customStyle="1" w:styleId="166">
    <w:name w:val="封面标准英文名称2"/>
    <w:basedOn w:val="110"/>
    <w:qFormat/>
    <w:uiPriority w:val="0"/>
    <w:pPr>
      <w:framePr w:y="4469"/>
    </w:pPr>
  </w:style>
  <w:style w:type="paragraph" w:customStyle="1" w:styleId="167">
    <w:name w:val="封面一致性程度标识2"/>
    <w:basedOn w:val="111"/>
    <w:qFormat/>
    <w:uiPriority w:val="0"/>
    <w:pPr>
      <w:framePr w:y="4469"/>
    </w:pPr>
  </w:style>
  <w:style w:type="paragraph" w:customStyle="1" w:styleId="168">
    <w:name w:val="封面标准文稿类别2"/>
    <w:basedOn w:val="112"/>
    <w:qFormat/>
    <w:uiPriority w:val="0"/>
    <w:pPr>
      <w:framePr w:y="4469"/>
    </w:pPr>
  </w:style>
  <w:style w:type="paragraph" w:customStyle="1" w:styleId="169">
    <w:name w:val="封面标准文稿编辑信息2"/>
    <w:basedOn w:val="113"/>
    <w:qFormat/>
    <w:uiPriority w:val="0"/>
    <w:pPr>
      <w:framePr w:y="4469"/>
    </w:pPr>
  </w:style>
  <w:style w:type="paragraph" w:styleId="17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71">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styleId="172">
    <w:name w:val="Placeholder Text"/>
    <w:basedOn w:val="43"/>
    <w:qFormat/>
    <w:uiPriority w:val="99"/>
    <w:rPr>
      <w:color w:val="808080"/>
    </w:rPr>
  </w:style>
  <w:style w:type="paragraph" w:customStyle="1" w:styleId="173">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174">
    <w:name w:val="项目正文"/>
    <w:basedOn w:val="1"/>
    <w:qFormat/>
    <w:uiPriority w:val="0"/>
    <w:pPr>
      <w:spacing w:line="360" w:lineRule="auto"/>
      <w:ind w:firstLine="420"/>
    </w:pPr>
    <w:rPr>
      <w:rFonts w:ascii="Times New Roman" w:hAnsi="Times New Roman"/>
      <w:sz w:val="24"/>
      <w:szCs w:val="24"/>
    </w:rPr>
  </w:style>
  <w:style w:type="paragraph" w:customStyle="1" w:styleId="175">
    <w:name w:val="Normal+2"/>
    <w:basedOn w:val="173"/>
    <w:next w:val="173"/>
    <w:qFormat/>
    <w:uiPriority w:val="0"/>
    <w:rPr>
      <w:color w:val="auto"/>
    </w:rPr>
  </w:style>
  <w:style w:type="character" w:customStyle="1" w:styleId="176">
    <w:name w:val="atn"/>
    <w:basedOn w:val="43"/>
    <w:qFormat/>
    <w:uiPriority w:val="0"/>
  </w:style>
  <w:style w:type="character" w:customStyle="1" w:styleId="177">
    <w:name w:val="hps"/>
    <w:basedOn w:val="43"/>
    <w:qFormat/>
    <w:uiPriority w:val="0"/>
  </w:style>
  <w:style w:type="paragraph" w:customStyle="1" w:styleId="178">
    <w:name w:val="CM14"/>
    <w:basedOn w:val="173"/>
    <w:next w:val="173"/>
    <w:qFormat/>
    <w:uiPriority w:val="0"/>
    <w:pPr>
      <w:spacing w:line="188" w:lineRule="atLeast"/>
    </w:pPr>
    <w:rPr>
      <w:rFonts w:ascii="MGPPD L+ Melior" w:eastAsia="MGPPD L+ Melior"/>
      <w:color w:val="auto"/>
    </w:rPr>
  </w:style>
  <w:style w:type="paragraph" w:customStyle="1" w:styleId="179">
    <w:name w:val="Report Signature"/>
    <w:basedOn w:val="173"/>
    <w:next w:val="173"/>
    <w:qFormat/>
    <w:uiPriority w:val="0"/>
    <w:rPr>
      <w:rFonts w:ascii="Book Antiqua" w:eastAsia="Book Antiqua"/>
      <w:color w:val="auto"/>
    </w:rPr>
  </w:style>
  <w:style w:type="paragraph" w:customStyle="1" w:styleId="180">
    <w:name w:val="正文 New New New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2"/>
      <w:lang w:val="en-US" w:eastAsia="zh-CN" w:bidi="ar-SA"/>
    </w:rPr>
  </w:style>
  <w:style w:type="paragraph" w:customStyle="1" w:styleId="181">
    <w:name w:val="_标准条文"/>
    <w:basedOn w:val="1"/>
    <w:link w:val="182"/>
    <w:qFormat/>
    <w:uiPriority w:val="0"/>
    <w:pPr>
      <w:overflowPunct w:val="0"/>
      <w:snapToGrid w:val="0"/>
      <w:spacing w:line="276" w:lineRule="auto"/>
      <w:ind w:firstLine="420" w:firstLineChars="200"/>
    </w:pPr>
    <w:rPr>
      <w:rFonts w:ascii="Arial" w:hAnsi="Arial"/>
    </w:rPr>
  </w:style>
  <w:style w:type="character" w:customStyle="1" w:styleId="182">
    <w:name w:val="_标准条文 Char"/>
    <w:link w:val="181"/>
    <w:qFormat/>
    <w:uiPriority w:val="0"/>
    <w:rPr>
      <w:rFonts w:ascii="Arial" w:hAnsi="Arial"/>
    </w:rPr>
  </w:style>
  <w:style w:type="paragraph" w:customStyle="1" w:styleId="183">
    <w:name w:val="Table Paragraph"/>
    <w:basedOn w:val="1"/>
    <w:qFormat/>
    <w:uiPriority w:val="1"/>
    <w:pPr>
      <w:jc w:val="left"/>
    </w:pPr>
    <w:rPr>
      <w:rFonts w:ascii="等线" w:hAnsi="等线" w:eastAsia="等线"/>
      <w:kern w:val="0"/>
      <w:sz w:val="22"/>
      <w:lang w:eastAsia="en-US"/>
    </w:rPr>
  </w:style>
  <w:style w:type="paragraph" w:customStyle="1" w:styleId="184">
    <w:name w:val="正文缩进1"/>
    <w:basedOn w:val="1"/>
    <w:qFormat/>
    <w:uiPriority w:val="0"/>
    <w:pPr>
      <w:ind w:firstLine="200" w:firstLineChars="200"/>
    </w:pPr>
    <w:rPr>
      <w:rFonts w:ascii="Times New Roman" w:hAnsi="Times New Roman" w:cs="Times New Roman"/>
      <w:szCs w:val="24"/>
    </w:rPr>
  </w:style>
  <w:style w:type="paragraph" w:customStyle="1" w:styleId="185">
    <w:name w:val="Normal_9"/>
    <w:qFormat/>
    <w:uiPriority w:val="0"/>
    <w:pPr>
      <w:spacing w:before="120" w:after="240"/>
      <w:jc w:val="both"/>
    </w:pPr>
    <w:rPr>
      <w:rFonts w:ascii="Calibri" w:hAnsi="Calibri" w:eastAsia="Calibri" w:cs="Times New Roman"/>
      <w:kern w:val="0"/>
      <w:sz w:val="22"/>
      <w:szCs w:val="22"/>
      <w:lang w:val="ru-RU" w:eastAsia="en-US" w:bidi="ar-SA"/>
    </w:rPr>
  </w:style>
  <w:style w:type="character" w:customStyle="1" w:styleId="186">
    <w:name w:val="未处理的提及1"/>
    <w:basedOn w:val="43"/>
    <w:qFormat/>
    <w:uiPriority w:val="99"/>
    <w:rPr>
      <w:color w:val="605E5C"/>
      <w:shd w:val="clear" w:color="auto" w:fill="E1DFDD"/>
    </w:rPr>
  </w:style>
  <w:style w:type="paragraph" w:customStyle="1" w:styleId="187">
    <w:name w:val="Normal_43"/>
    <w:qFormat/>
    <w:uiPriority w:val="0"/>
    <w:pPr>
      <w:spacing w:before="120" w:after="240"/>
      <w:jc w:val="both"/>
    </w:pPr>
    <w:rPr>
      <w:rFonts w:ascii="等线" w:hAnsi="等线" w:eastAsia="等线" w:cs="宋体"/>
      <w:kern w:val="0"/>
      <w:sz w:val="22"/>
      <w:szCs w:val="22"/>
      <w:lang w:val="ru-RU" w:eastAsia="en-US" w:bidi="ar-SA"/>
    </w:rPr>
  </w:style>
  <w:style w:type="paragraph" w:customStyle="1" w:styleId="188">
    <w:name w:val="Normal_44"/>
    <w:qFormat/>
    <w:uiPriority w:val="0"/>
    <w:pPr>
      <w:spacing w:before="120" w:after="240"/>
      <w:jc w:val="both"/>
    </w:pPr>
    <w:rPr>
      <w:rFonts w:ascii="等线" w:hAnsi="等线" w:eastAsia="等线" w:cs="宋体"/>
      <w:kern w:val="0"/>
      <w:sz w:val="22"/>
      <w:szCs w:val="22"/>
      <w:lang w:val="ru-RU" w:eastAsia="en-US" w:bidi="ar-SA"/>
    </w:rPr>
  </w:style>
  <w:style w:type="paragraph" w:customStyle="1" w:styleId="189">
    <w:name w:val="Normal_37"/>
    <w:qFormat/>
    <w:uiPriority w:val="0"/>
    <w:pPr>
      <w:spacing w:before="120" w:after="240"/>
      <w:jc w:val="both"/>
    </w:pPr>
    <w:rPr>
      <w:rFonts w:ascii="等线" w:hAnsi="等线" w:eastAsia="等线" w:cs="宋体"/>
      <w:kern w:val="0"/>
      <w:sz w:val="22"/>
      <w:szCs w:val="22"/>
      <w:lang w:val="ru-RU" w:eastAsia="en-US" w:bidi="ar-SA"/>
    </w:rPr>
  </w:style>
  <w:style w:type="paragraph" w:customStyle="1" w:styleId="190">
    <w:name w:val="_表格条文"/>
    <w:basedOn w:val="1"/>
    <w:qFormat/>
    <w:uiPriority w:val="0"/>
    <w:pPr>
      <w:spacing w:line="276" w:lineRule="auto"/>
    </w:pPr>
    <w:rPr>
      <w:rFonts w:ascii="Arial" w:hAnsi="Arial" w:cs="Times New Roman"/>
      <w:color w:val="000000"/>
      <w:sz w:val="18"/>
      <w:szCs w:val="21"/>
    </w:rPr>
  </w:style>
  <w:style w:type="paragraph" w:customStyle="1" w:styleId="191">
    <w:name w:val="TOC 标题2"/>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192">
    <w:name w:val="列出段落1"/>
    <w:basedOn w:val="1"/>
    <w:qFormat/>
    <w:uiPriority w:val="0"/>
    <w:pPr>
      <w:ind w:firstLine="420" w:firstLineChars="200"/>
    </w:pPr>
    <w:rPr>
      <w:rFonts w:cs="Times New Roman"/>
    </w:rPr>
  </w:style>
  <w:style w:type="character" w:customStyle="1" w:styleId="193">
    <w:name w:val="font81"/>
    <w:basedOn w:val="43"/>
    <w:qFormat/>
    <w:uiPriority w:val="0"/>
    <w:rPr>
      <w:rFonts w:ascii="Arial" w:hAnsi="Arial" w:cs="Arial"/>
      <w:color w:val="000000"/>
      <w:sz w:val="24"/>
      <w:szCs w:val="24"/>
      <w:u w:val="none"/>
    </w:rPr>
  </w:style>
  <w:style w:type="character" w:customStyle="1" w:styleId="194">
    <w:name w:val="font31"/>
    <w:basedOn w:val="43"/>
    <w:qFormat/>
    <w:uiPriority w:val="0"/>
    <w:rPr>
      <w:rFonts w:hint="eastAsia" w:ascii="宋体" w:hAnsi="宋体" w:eastAsia="宋体" w:cs="宋体"/>
      <w:color w:val="000000"/>
      <w:sz w:val="24"/>
      <w:szCs w:val="24"/>
      <w:u w:val="none"/>
      <w:vertAlign w:val="subscript"/>
    </w:rPr>
  </w:style>
  <w:style w:type="character" w:customStyle="1" w:styleId="195">
    <w:name w:val="font41"/>
    <w:basedOn w:val="43"/>
    <w:qFormat/>
    <w:uiPriority w:val="0"/>
    <w:rPr>
      <w:rFonts w:hint="eastAsia" w:ascii="宋体" w:hAnsi="宋体" w:eastAsia="宋体" w:cs="宋体"/>
      <w:color w:val="FF0000"/>
      <w:sz w:val="24"/>
      <w:szCs w:val="24"/>
      <w:u w:val="none"/>
    </w:rPr>
  </w:style>
  <w:style w:type="character" w:customStyle="1" w:styleId="196">
    <w:name w:val="font01"/>
    <w:basedOn w:val="43"/>
    <w:qFormat/>
    <w:uiPriority w:val="0"/>
    <w:rPr>
      <w:rFonts w:hint="eastAsia" w:ascii="宋体" w:hAnsi="宋体" w:eastAsia="宋体" w:cs="宋体"/>
      <w:color w:val="FF0000"/>
      <w:sz w:val="24"/>
      <w:szCs w:val="24"/>
      <w:u w:val="none"/>
      <w:vertAlign w:val="superscript"/>
    </w:rPr>
  </w:style>
  <w:style w:type="character" w:customStyle="1" w:styleId="197">
    <w:name w:val="font11"/>
    <w:basedOn w:val="43"/>
    <w:qFormat/>
    <w:uiPriority w:val="0"/>
    <w:rPr>
      <w:rFonts w:hint="eastAsia" w:ascii="宋体" w:hAnsi="宋体" w:eastAsia="宋体" w:cs="宋体"/>
      <w:color w:val="FF0000"/>
      <w:sz w:val="24"/>
      <w:szCs w:val="24"/>
      <w:u w:val="none"/>
      <w:vertAlign w:val="subscript"/>
    </w:rPr>
  </w:style>
  <w:style w:type="character" w:customStyle="1" w:styleId="198">
    <w:name w:val="font21"/>
    <w:basedOn w:val="43"/>
    <w:qFormat/>
    <w:uiPriority w:val="0"/>
    <w:rPr>
      <w:rFonts w:hint="eastAsia" w:ascii="宋体" w:hAnsi="宋体" w:eastAsia="宋体" w:cs="宋体"/>
      <w:color w:val="000000"/>
      <w:sz w:val="24"/>
      <w:szCs w:val="24"/>
      <w:u w:val="none"/>
      <w:vertAlign w:val="superscript"/>
    </w:rPr>
  </w:style>
  <w:style w:type="character" w:customStyle="1" w:styleId="199">
    <w:name w:val="font61"/>
    <w:basedOn w:val="43"/>
    <w:qFormat/>
    <w:uiPriority w:val="0"/>
    <w:rPr>
      <w:rFonts w:hint="eastAsia" w:ascii="宋体" w:hAnsi="宋体" w:eastAsia="宋体" w:cs="宋体"/>
      <w:color w:val="000000"/>
      <w:sz w:val="24"/>
      <w:szCs w:val="24"/>
      <w:u w:val="none"/>
    </w:rPr>
  </w:style>
  <w:style w:type="paragraph" w:customStyle="1" w:styleId="200">
    <w:name w:val="Char Char2"/>
    <w:basedOn w:val="1"/>
    <w:qFormat/>
    <w:uiPriority w:val="0"/>
    <w:rPr>
      <w:rFonts w:ascii="Times New Roman" w:hAnsi="Times New Roman" w:eastAsia="仿宋_GB2312" w:cs="Times New Roman"/>
      <w:sz w:val="32"/>
      <w:szCs w:val="24"/>
    </w:rPr>
  </w:style>
  <w:style w:type="paragraph" w:customStyle="1" w:styleId="201">
    <w:name w:val="列出段落2"/>
    <w:basedOn w:val="1"/>
    <w:qFormat/>
    <w:uiPriority w:val="0"/>
    <w:pPr>
      <w:ind w:firstLine="420" w:firstLineChars="200"/>
    </w:pPr>
    <w:rPr>
      <w:rFonts w:cs="Times New Roman"/>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5.wmf"/><Relationship Id="rId8" Type="http://schemas.openxmlformats.org/officeDocument/2006/relationships/image" Target="media/image4.wmf"/><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microsoft.com/office/2006/relationships/keyMapCustomizations" Target="customizations.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2.png"/><Relationship Id="rId25" Type="http://schemas.openxmlformats.org/officeDocument/2006/relationships/image" Target="media/image21.wmf"/><Relationship Id="rId24" Type="http://schemas.openxmlformats.org/officeDocument/2006/relationships/image" Target="media/image20.wmf"/><Relationship Id="rId23" Type="http://schemas.openxmlformats.org/officeDocument/2006/relationships/image" Target="media/image19.wmf"/><Relationship Id="rId22" Type="http://schemas.openxmlformats.org/officeDocument/2006/relationships/image" Target="media/image18.wmf"/><Relationship Id="rId21" Type="http://schemas.openxmlformats.org/officeDocument/2006/relationships/image" Target="media/image17.wmf"/><Relationship Id="rId20" Type="http://schemas.openxmlformats.org/officeDocument/2006/relationships/image" Target="media/image16.wmf"/><Relationship Id="rId2" Type="http://schemas.openxmlformats.org/officeDocument/2006/relationships/settings" Target="settings.xml"/><Relationship Id="rId19" Type="http://schemas.openxmlformats.org/officeDocument/2006/relationships/image" Target="media/image15.wmf"/><Relationship Id="rId18" Type="http://schemas.openxmlformats.org/officeDocument/2006/relationships/image" Target="media/image14.wmf"/><Relationship Id="rId17" Type="http://schemas.openxmlformats.org/officeDocument/2006/relationships/image" Target="media/image13.wmf"/><Relationship Id="rId16" Type="http://schemas.openxmlformats.org/officeDocument/2006/relationships/image" Target="media/image12.wmf"/><Relationship Id="rId15" Type="http://schemas.openxmlformats.org/officeDocument/2006/relationships/image" Target="media/image11.wmf"/><Relationship Id="rId14" Type="http://schemas.openxmlformats.org/officeDocument/2006/relationships/image" Target="media/image10.wmf"/><Relationship Id="rId13" Type="http://schemas.openxmlformats.org/officeDocument/2006/relationships/image" Target="media/image9.wmf"/><Relationship Id="rId12" Type="http://schemas.openxmlformats.org/officeDocument/2006/relationships/image" Target="media/image8.wmf"/><Relationship Id="rId11" Type="http://schemas.openxmlformats.org/officeDocument/2006/relationships/image" Target="media/image7.wmf"/><Relationship Id="rId10" Type="http://schemas.openxmlformats.org/officeDocument/2006/relationships/image" Target="media/image6.w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2881</Words>
  <Characters>16423</Characters>
  <Lines>136</Lines>
  <Paragraphs>38</Paragraphs>
  <TotalTime>181</TotalTime>
  <ScaleCrop>false</ScaleCrop>
  <LinksUpToDate>false</LinksUpToDate>
  <CharactersWithSpaces>19266</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2019-08-15T00:24:00Z</dcterms:created>
  <dc:creator>jkzx</dc:creator>
  <cp:lastModifiedBy>Mr-Sun</cp:lastModifiedBy>
  <cp:lastPrinted>2019-08-15T07:53:00Z</cp:lastPrinted>
  <dcterms:modified xsi:type="dcterms:W3CDTF">2019-09-11T08:44:04Z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